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93864" w14:textId="4184FF29" w:rsidR="00B13357" w:rsidRDefault="00DD5160">
      <w:pPr>
        <w:rPr>
          <w:sz w:val="32"/>
          <w:szCs w:val="32"/>
        </w:rPr>
      </w:pPr>
      <w:bookmarkStart w:id="0" w:name="_GoBack"/>
      <w:bookmarkEnd w:id="0"/>
      <w:r>
        <w:rPr>
          <w:noProof/>
        </w:rPr>
        <w:drawing>
          <wp:anchor distT="0" distB="0" distL="114300" distR="114300" simplePos="0" relativeHeight="251662336" behindDoc="0" locked="0" layoutInCell="1" allowOverlap="1" wp14:anchorId="263D8D35" wp14:editId="253A6863">
            <wp:simplePos x="0" y="0"/>
            <wp:positionH relativeFrom="margin">
              <wp:posOffset>-469900</wp:posOffset>
            </wp:positionH>
            <wp:positionV relativeFrom="margin">
              <wp:posOffset>-853440</wp:posOffset>
            </wp:positionV>
            <wp:extent cx="7564120" cy="10704195"/>
            <wp:effectExtent l="0" t="0" r="0" b="1905"/>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EC.png"/>
                    <pic:cNvPicPr/>
                  </pic:nvPicPr>
                  <pic:blipFill>
                    <a:blip r:embed="rId6">
                      <a:extLst>
                        <a:ext uri="{28A0092B-C50C-407E-A947-70E740481C1C}">
                          <a14:useLocalDpi xmlns:a14="http://schemas.microsoft.com/office/drawing/2010/main" val="0"/>
                        </a:ext>
                      </a:extLst>
                    </a:blip>
                    <a:stretch>
                      <a:fillRect/>
                    </a:stretch>
                  </pic:blipFill>
                  <pic:spPr>
                    <a:xfrm>
                      <a:off x="0" y="0"/>
                      <a:ext cx="7564120" cy="10704195"/>
                    </a:xfrm>
                    <a:prstGeom prst="rect">
                      <a:avLst/>
                    </a:prstGeom>
                  </pic:spPr>
                </pic:pic>
              </a:graphicData>
            </a:graphic>
            <wp14:sizeRelH relativeFrom="margin">
              <wp14:pctWidth>0</wp14:pctWidth>
            </wp14:sizeRelH>
            <wp14:sizeRelV relativeFrom="margin">
              <wp14:pctHeight>0</wp14:pctHeight>
            </wp14:sizeRelV>
          </wp:anchor>
        </w:drawing>
      </w:r>
      <w:r w:rsidR="00875D06">
        <w:br w:type="page"/>
      </w:r>
    </w:p>
    <w:p w14:paraId="2A183784" w14:textId="1E94AD4D" w:rsidR="00B13357" w:rsidRDefault="00875D06">
      <w:pPr>
        <w:pStyle w:val="KonuBal"/>
        <w:spacing w:line="259" w:lineRule="auto"/>
        <w:ind w:right="1325"/>
      </w:pPr>
      <w:r>
        <w:lastRenderedPageBreak/>
        <w:t>THEQC EVALUATION CRITERIA</w:t>
      </w:r>
    </w:p>
    <w:p w14:paraId="7E168D47" w14:textId="0A4EE578" w:rsidR="00B13357" w:rsidRDefault="00875D06">
      <w:pPr>
        <w:pStyle w:val="KonuBal"/>
        <w:spacing w:before="160"/>
      </w:pPr>
      <w:r>
        <w:t>(VERSION</w:t>
      </w:r>
      <w:r>
        <w:rPr>
          <w:spacing w:val="-1"/>
        </w:rPr>
        <w:t xml:space="preserve"> </w:t>
      </w:r>
      <w:r>
        <w:t>3.1)</w:t>
      </w:r>
    </w:p>
    <w:p w14:paraId="4236E430" w14:textId="77777777" w:rsidR="00B13357" w:rsidRDefault="00B13357">
      <w:pPr>
        <w:pStyle w:val="GvdeMetni"/>
        <w:ind w:left="0"/>
        <w:jc w:val="left"/>
        <w:rPr>
          <w:sz w:val="36"/>
        </w:rPr>
      </w:pPr>
    </w:p>
    <w:p w14:paraId="7D2318D1" w14:textId="52AD04FE" w:rsidR="00B13357" w:rsidRDefault="00875D06">
      <w:pPr>
        <w:spacing w:before="230" w:line="254" w:lineRule="auto"/>
        <w:ind w:left="676" w:right="673"/>
        <w:jc w:val="both"/>
        <w:rPr>
          <w:sz w:val="24"/>
        </w:rPr>
      </w:pPr>
      <w:r>
        <w:rPr>
          <w:sz w:val="24"/>
        </w:rPr>
        <w:t>These criteria have been updated considering the Standards and Guidelines for Quality Assurance in the European Higher Education Area (ESG-2015) to be used in the THEQC Evaluation Programs (Institutional External Evaluation Program, Follow-up Program, Institutional Accreditation Program, and Mid-term Evaluation Program).</w:t>
      </w:r>
    </w:p>
    <w:p w14:paraId="4EDCE7F8" w14:textId="52A577AA" w:rsidR="00B13357" w:rsidRDefault="00875D06">
      <w:pPr>
        <w:pStyle w:val="P68B1DB1-Normal1"/>
        <w:spacing w:before="230" w:line="254" w:lineRule="auto"/>
        <w:ind w:left="676" w:right="673"/>
        <w:jc w:val="both"/>
      </w:pPr>
      <w:r>
        <w:t>Table 1 shows the relevance between ESG-2015 and the THEQC Evaluation Criteria.</w:t>
      </w:r>
    </w:p>
    <w:p w14:paraId="0BBBE977" w14:textId="77777777" w:rsidR="00B13357" w:rsidRDefault="00B13357">
      <w:pPr>
        <w:pStyle w:val="GvdeMetni"/>
        <w:ind w:left="0"/>
        <w:jc w:val="left"/>
        <w:rPr>
          <w:sz w:val="28"/>
        </w:rPr>
      </w:pPr>
    </w:p>
    <w:p w14:paraId="42F841F0" w14:textId="77777777" w:rsidR="00B13357" w:rsidRDefault="00B13357">
      <w:pPr>
        <w:pStyle w:val="GvdeMetni"/>
        <w:spacing w:before="2"/>
        <w:ind w:left="0"/>
        <w:jc w:val="left"/>
        <w:rPr>
          <w:sz w:val="26"/>
        </w:rPr>
      </w:pPr>
    </w:p>
    <w:p w14:paraId="49066782" w14:textId="7C94E75B" w:rsidR="00B13357" w:rsidRDefault="00875D06">
      <w:pPr>
        <w:pStyle w:val="P68B1DB1-ListeParagraf2"/>
        <w:numPr>
          <w:ilvl w:val="0"/>
          <w:numId w:val="6"/>
        </w:numPr>
        <w:tabs>
          <w:tab w:val="left" w:pos="938"/>
        </w:tabs>
        <w:jc w:val="both"/>
      </w:pPr>
      <w:bookmarkStart w:id="1" w:name="A._LİDERLİK,_YÖNETİM_ve_KALİTE"/>
      <w:bookmarkEnd w:id="1"/>
      <w:r>
        <w:t>LEADERSHIP,</w:t>
      </w:r>
      <w:r>
        <w:rPr>
          <w:spacing w:val="-3"/>
        </w:rPr>
        <w:t xml:space="preserve"> </w:t>
      </w:r>
      <w:r>
        <w:t>GOVERNANCE</w:t>
      </w:r>
      <w:r>
        <w:rPr>
          <w:spacing w:val="-3"/>
        </w:rPr>
        <w:t xml:space="preserve"> </w:t>
      </w:r>
      <w:r>
        <w:t>and</w:t>
      </w:r>
      <w:r>
        <w:rPr>
          <w:spacing w:val="-1"/>
        </w:rPr>
        <w:t xml:space="preserve"> </w:t>
      </w:r>
      <w:r>
        <w:t>QUALITY</w:t>
      </w:r>
    </w:p>
    <w:p w14:paraId="15BDBF78" w14:textId="77777777" w:rsidR="00B13357" w:rsidRDefault="00875D06">
      <w:pPr>
        <w:pStyle w:val="P68B1DB1-ListeParagraf3"/>
        <w:numPr>
          <w:ilvl w:val="1"/>
          <w:numId w:val="6"/>
        </w:numPr>
        <w:tabs>
          <w:tab w:val="left" w:pos="1072"/>
        </w:tabs>
        <w:spacing w:before="183"/>
        <w:jc w:val="both"/>
      </w:pPr>
      <w:bookmarkStart w:id="2" w:name="A.1_Liderlik_ve_Kalite"/>
      <w:bookmarkEnd w:id="2"/>
      <w:r>
        <w:t>Leadership</w:t>
      </w:r>
      <w:r>
        <w:rPr>
          <w:spacing w:val="-2"/>
        </w:rPr>
        <w:t xml:space="preserve"> </w:t>
      </w:r>
      <w:r>
        <w:t>and</w:t>
      </w:r>
      <w:r>
        <w:rPr>
          <w:spacing w:val="-1"/>
        </w:rPr>
        <w:t xml:space="preserve"> </w:t>
      </w:r>
      <w:r>
        <w:t>Quality</w:t>
      </w:r>
    </w:p>
    <w:p w14:paraId="2B671EE2" w14:textId="777C8F4F" w:rsidR="00B13357" w:rsidRDefault="00875D06">
      <w:pPr>
        <w:pStyle w:val="GvdeMetni"/>
        <w:spacing w:before="21" w:line="259" w:lineRule="auto"/>
        <w:ind w:left="675" w:right="675"/>
      </w:pPr>
      <w:r>
        <w:t>The institution should have the governance model to enable institutional transformation, apply leadership approaches, create internal quality assurance mechanisms and internalize the quality assurance culture.</w:t>
      </w:r>
    </w:p>
    <w:p w14:paraId="2E189819" w14:textId="77777777" w:rsidR="00B13357" w:rsidRDefault="00875D06">
      <w:pPr>
        <w:pStyle w:val="P68B1DB1-ListeParagraf3"/>
        <w:numPr>
          <w:ilvl w:val="1"/>
          <w:numId w:val="6"/>
        </w:numPr>
        <w:tabs>
          <w:tab w:val="left" w:pos="1082"/>
        </w:tabs>
        <w:spacing w:before="159"/>
        <w:ind w:left="1081" w:hanging="406"/>
        <w:jc w:val="both"/>
      </w:pPr>
      <w:bookmarkStart w:id="3" w:name="A.2_Misyon_ve_Stratejik_Amaçlar"/>
      <w:bookmarkEnd w:id="3"/>
      <w:r>
        <w:t>Mission</w:t>
      </w:r>
      <w:r>
        <w:rPr>
          <w:spacing w:val="-2"/>
        </w:rPr>
        <w:t xml:space="preserve"> </w:t>
      </w:r>
      <w:r>
        <w:t>and</w:t>
      </w:r>
      <w:r>
        <w:rPr>
          <w:spacing w:val="-2"/>
        </w:rPr>
        <w:t xml:space="preserve"> </w:t>
      </w:r>
      <w:r>
        <w:t>Strategic Goals</w:t>
      </w:r>
    </w:p>
    <w:p w14:paraId="008FC250" w14:textId="77777777" w:rsidR="00B13357" w:rsidRDefault="00875D06">
      <w:pPr>
        <w:pStyle w:val="GvdeMetni"/>
        <w:spacing w:before="22" w:line="259" w:lineRule="auto"/>
        <w:ind w:right="674"/>
      </w:pPr>
      <w:r>
        <w:t>The institution should plan and implement its strategic goals and objectives created in accordance with its policies to achieve its vision, mission, and goals, monitor and evaluate its results in the scope of performance management, and disclose these to the public.</w:t>
      </w:r>
    </w:p>
    <w:p w14:paraId="261E38A0" w14:textId="77777777" w:rsidR="00B13357" w:rsidRDefault="00875D06">
      <w:pPr>
        <w:pStyle w:val="P68B1DB1-ListeParagraf3"/>
        <w:numPr>
          <w:ilvl w:val="1"/>
          <w:numId w:val="6"/>
        </w:numPr>
        <w:tabs>
          <w:tab w:val="left" w:pos="1080"/>
        </w:tabs>
        <w:spacing w:before="160"/>
        <w:ind w:left="1079" w:hanging="404"/>
        <w:jc w:val="both"/>
      </w:pPr>
      <w:r>
        <w:t>Governance</w:t>
      </w:r>
      <w:r>
        <w:rPr>
          <w:spacing w:val="-2"/>
        </w:rPr>
        <w:t xml:space="preserve"> </w:t>
      </w:r>
      <w:r>
        <w:t>Systems</w:t>
      </w:r>
    </w:p>
    <w:p w14:paraId="706F297D" w14:textId="77777777" w:rsidR="00B13357" w:rsidRDefault="00875D06">
      <w:pPr>
        <w:pStyle w:val="GvdeMetni"/>
        <w:spacing w:before="183" w:line="259" w:lineRule="auto"/>
        <w:ind w:left="675" w:right="674"/>
      </w:pPr>
      <w:r>
        <w:t>The institution should have a system to manage its processes as well as financial, human and information resources to guarantee the achievement of its strategic objectives in qualitative and quantitative manners.</w:t>
      </w:r>
    </w:p>
    <w:p w14:paraId="7397A42B" w14:textId="77777777" w:rsidR="00B13357" w:rsidRDefault="00875D06">
      <w:pPr>
        <w:pStyle w:val="P68B1DB1-ListeParagraf3"/>
        <w:numPr>
          <w:ilvl w:val="1"/>
          <w:numId w:val="6"/>
        </w:numPr>
        <w:tabs>
          <w:tab w:val="left" w:pos="1084"/>
        </w:tabs>
        <w:spacing w:before="158"/>
        <w:ind w:left="1084" w:hanging="408"/>
        <w:jc w:val="both"/>
      </w:pPr>
      <w:bookmarkStart w:id="4" w:name="A.4_Paydaş_Katılımı"/>
      <w:bookmarkEnd w:id="4"/>
      <w:r>
        <w:t>Stakeholder</w:t>
      </w:r>
      <w:r>
        <w:rPr>
          <w:spacing w:val="-2"/>
        </w:rPr>
        <w:t xml:space="preserve"> </w:t>
      </w:r>
      <w:r>
        <w:t>Involvement</w:t>
      </w:r>
    </w:p>
    <w:p w14:paraId="1B8202AE" w14:textId="77777777" w:rsidR="00B13357" w:rsidRDefault="00875D06">
      <w:pPr>
        <w:pStyle w:val="GvdeMetni"/>
        <w:spacing w:before="22" w:line="259" w:lineRule="auto"/>
        <w:ind w:right="675"/>
      </w:pPr>
      <w:r>
        <w:t>The institution should establish and manage the necessary systems to receive and respond to the feedback of its internal and external stakeholders in order to ensure their involvement in strategic decisions and processes and use them in their decisions.</w:t>
      </w:r>
    </w:p>
    <w:p w14:paraId="65AD86D4" w14:textId="77777777" w:rsidR="00B13357" w:rsidRDefault="00875D06">
      <w:pPr>
        <w:pStyle w:val="P68B1DB1-ListeParagraf3"/>
        <w:numPr>
          <w:ilvl w:val="1"/>
          <w:numId w:val="6"/>
        </w:numPr>
        <w:tabs>
          <w:tab w:val="left" w:pos="1080"/>
        </w:tabs>
        <w:spacing w:before="159"/>
        <w:ind w:left="1079" w:hanging="404"/>
        <w:jc w:val="both"/>
      </w:pPr>
      <w:bookmarkStart w:id="5" w:name="A.5_Uluslararasılaşma"/>
      <w:bookmarkEnd w:id="5"/>
      <w:r>
        <w:t>Internationalization</w:t>
      </w:r>
    </w:p>
    <w:p w14:paraId="4D1A6701" w14:textId="77777777" w:rsidR="00B13357" w:rsidRDefault="00875D06">
      <w:pPr>
        <w:pStyle w:val="GvdeMetni"/>
        <w:spacing w:before="21" w:line="259" w:lineRule="auto"/>
        <w:ind w:right="673"/>
      </w:pPr>
      <w:r>
        <w:t>The institution should manage its processes, form the organizational structure, and periodically monitor and evaluate its results in accordance with its internationalization strategy and objectives.</w:t>
      </w:r>
    </w:p>
    <w:p w14:paraId="08EE7219" w14:textId="77777777" w:rsidR="00B13357" w:rsidRDefault="00B13357">
      <w:pPr>
        <w:pStyle w:val="GvdeMetni"/>
        <w:ind w:left="0"/>
        <w:jc w:val="left"/>
        <w:rPr>
          <w:sz w:val="28"/>
        </w:rPr>
      </w:pPr>
    </w:p>
    <w:p w14:paraId="3E9BEFAA" w14:textId="77777777" w:rsidR="00B13357" w:rsidRDefault="00B13357">
      <w:pPr>
        <w:pStyle w:val="GvdeMetni"/>
        <w:spacing w:before="5"/>
        <w:ind w:left="0"/>
        <w:jc w:val="left"/>
        <w:rPr>
          <w:sz w:val="25"/>
        </w:rPr>
      </w:pPr>
    </w:p>
    <w:p w14:paraId="7F462AA4" w14:textId="77777777" w:rsidR="00B13357" w:rsidRDefault="00875D06">
      <w:pPr>
        <w:pStyle w:val="P68B1DB1-ListeParagraf2"/>
        <w:numPr>
          <w:ilvl w:val="0"/>
          <w:numId w:val="6"/>
        </w:numPr>
        <w:tabs>
          <w:tab w:val="left" w:pos="945"/>
        </w:tabs>
        <w:ind w:left="944" w:hanging="269"/>
        <w:jc w:val="both"/>
      </w:pPr>
      <w:bookmarkStart w:id="6" w:name="B._EĞİTİM_VE_ÖĞRETİM"/>
      <w:bookmarkEnd w:id="6"/>
      <w:r>
        <w:t>LEARNING</w:t>
      </w:r>
      <w:r>
        <w:rPr>
          <w:spacing w:val="-1"/>
        </w:rPr>
        <w:t xml:space="preserve"> </w:t>
      </w:r>
      <w:r>
        <w:t>AND</w:t>
      </w:r>
      <w:r>
        <w:rPr>
          <w:spacing w:val="-1"/>
        </w:rPr>
        <w:t xml:space="preserve"> </w:t>
      </w:r>
      <w:r>
        <w:t>TEACHING</w:t>
      </w:r>
    </w:p>
    <w:p w14:paraId="41DEC645" w14:textId="77777777" w:rsidR="00B13357" w:rsidRDefault="00875D06">
      <w:pPr>
        <w:pStyle w:val="P68B1DB1-ListeParagraf3"/>
        <w:numPr>
          <w:ilvl w:val="1"/>
          <w:numId w:val="6"/>
        </w:numPr>
        <w:tabs>
          <w:tab w:val="left" w:pos="1082"/>
        </w:tabs>
        <w:spacing w:before="182"/>
        <w:ind w:left="1081" w:hanging="406"/>
      </w:pPr>
      <w:bookmarkStart w:id="7" w:name="B.1_Program_Tasarımı,_Değerlendirmesi_ve"/>
      <w:bookmarkEnd w:id="7"/>
      <w:r>
        <w:t>B1. Program</w:t>
      </w:r>
      <w:r>
        <w:rPr>
          <w:spacing w:val="-3"/>
        </w:rPr>
        <w:t xml:space="preserve"> </w:t>
      </w:r>
      <w:r>
        <w:t>Design,</w:t>
      </w:r>
      <w:r>
        <w:rPr>
          <w:spacing w:val="-3"/>
        </w:rPr>
        <w:t xml:space="preserve"> </w:t>
      </w:r>
      <w:r>
        <w:t>Evaluation</w:t>
      </w:r>
      <w:r>
        <w:rPr>
          <w:spacing w:val="-3"/>
        </w:rPr>
        <w:t xml:space="preserve"> </w:t>
      </w:r>
      <w:r>
        <w:t>and</w:t>
      </w:r>
      <w:r>
        <w:rPr>
          <w:spacing w:val="-2"/>
        </w:rPr>
        <w:t xml:space="preserve"> </w:t>
      </w:r>
      <w:r>
        <w:t>Update</w:t>
      </w:r>
    </w:p>
    <w:p w14:paraId="1A69261A" w14:textId="77777777" w:rsidR="00B13357" w:rsidRDefault="00875D06">
      <w:pPr>
        <w:pStyle w:val="GvdeMetni"/>
        <w:spacing w:before="25" w:line="259" w:lineRule="auto"/>
        <w:ind w:right="673"/>
      </w:pPr>
      <w:r>
        <w:lastRenderedPageBreak/>
        <w:t>The institution should design its teaching programs in line with the Turkish Higher Education Qualifications Framework, the teaching objectives, and learning outcomes and periodically evaluate and update them to ensure that they meet the needs of students and society.</w:t>
      </w:r>
    </w:p>
    <w:p w14:paraId="4EE76F8A" w14:textId="77777777" w:rsidR="00B13357" w:rsidRDefault="00B13357">
      <w:pPr>
        <w:spacing w:line="259" w:lineRule="auto"/>
        <w:sectPr w:rsidR="00B13357">
          <w:type w:val="continuous"/>
          <w:pgSz w:w="11910" w:h="16840"/>
          <w:pgMar w:top="1320" w:right="740" w:bottom="280" w:left="740" w:header="708" w:footer="708" w:gutter="0"/>
          <w:cols w:space="708"/>
        </w:sectPr>
      </w:pPr>
    </w:p>
    <w:p w14:paraId="1036299A" w14:textId="77777777" w:rsidR="00B13357" w:rsidRDefault="00875D06">
      <w:pPr>
        <w:pStyle w:val="P68B1DB1-ListeParagraf3"/>
        <w:numPr>
          <w:ilvl w:val="1"/>
          <w:numId w:val="6"/>
        </w:numPr>
        <w:tabs>
          <w:tab w:val="left" w:pos="1092"/>
        </w:tabs>
        <w:spacing w:before="154" w:line="261" w:lineRule="auto"/>
        <w:ind w:left="676" w:right="2171" w:firstLine="0"/>
        <w:jc w:val="both"/>
      </w:pPr>
      <w:bookmarkStart w:id="8" w:name="B.2_Programların_Yürütülmesi_(Öğrenci_Me"/>
      <w:bookmarkEnd w:id="8"/>
      <w:r>
        <w:lastRenderedPageBreak/>
        <w:t>Implementation of Programs (Student-Centered Learning, Teaching and Evaluation)</w:t>
      </w:r>
    </w:p>
    <w:p w14:paraId="08E6A588" w14:textId="77777777" w:rsidR="00B13357" w:rsidRDefault="00875D06">
      <w:pPr>
        <w:pStyle w:val="GvdeMetni"/>
        <w:spacing w:line="259" w:lineRule="auto"/>
        <w:ind w:right="674"/>
      </w:pPr>
      <w:r>
        <w:t>The institution should implement the student-centered and competency-based teaching, measurement and evaluation methods to achieve the aimed qualified alumni competencies. The institution should set out explicit criteria for student admissions, the recognition and certification of degrees, diplomas and other qualifications and consistently implement the predefined and announced rules.</w:t>
      </w:r>
    </w:p>
    <w:p w14:paraId="136908CF" w14:textId="77777777" w:rsidR="00B13357" w:rsidRDefault="00875D06">
      <w:pPr>
        <w:pStyle w:val="P68B1DB1-ListeParagraf3"/>
        <w:numPr>
          <w:ilvl w:val="1"/>
          <w:numId w:val="6"/>
        </w:numPr>
        <w:tabs>
          <w:tab w:val="left" w:pos="1089"/>
        </w:tabs>
        <w:spacing w:before="153"/>
        <w:ind w:left="1088" w:hanging="413"/>
        <w:jc w:val="both"/>
      </w:pPr>
      <w:bookmarkStart w:id="9" w:name="B.3_Öğrenme_Kaynakları_ve_Akademik_Deste"/>
      <w:bookmarkEnd w:id="9"/>
      <w:r>
        <w:t>Learning Resources and Academic Support Services</w:t>
      </w:r>
    </w:p>
    <w:p w14:paraId="3F839BBB" w14:textId="77777777" w:rsidR="00B13357" w:rsidRDefault="00875D06">
      <w:pPr>
        <w:pStyle w:val="GvdeMetni"/>
        <w:spacing w:before="24" w:line="259" w:lineRule="auto"/>
        <w:ind w:right="673"/>
      </w:pPr>
      <w:r>
        <w:t>The institution should have the necessary resources, infrastructure and environment to implement its learning and teaching activities and achieve its aim of qualified alumni competencies and should ensure that the learning opportunities are sufficient and accessible for all students. The institution should provide assistance services for the academic development and career planning of students.</w:t>
      </w:r>
    </w:p>
    <w:p w14:paraId="36FA270E" w14:textId="77777777" w:rsidR="00B13357" w:rsidRDefault="00875D06">
      <w:pPr>
        <w:pStyle w:val="P68B1DB1-ListeParagraf3"/>
        <w:numPr>
          <w:ilvl w:val="1"/>
          <w:numId w:val="6"/>
        </w:numPr>
        <w:tabs>
          <w:tab w:val="left" w:pos="1094"/>
        </w:tabs>
        <w:spacing w:before="157"/>
        <w:ind w:left="1093" w:hanging="418"/>
        <w:jc w:val="both"/>
      </w:pPr>
      <w:bookmarkStart w:id="10" w:name="B.4_Öğretim_Kadrosu"/>
      <w:bookmarkEnd w:id="10"/>
      <w:r>
        <w:t>Teaching Staff</w:t>
      </w:r>
    </w:p>
    <w:p w14:paraId="35B920EC" w14:textId="77777777" w:rsidR="00B13357" w:rsidRDefault="00875D06">
      <w:pPr>
        <w:pStyle w:val="GvdeMetni"/>
        <w:spacing w:before="22" w:line="259" w:lineRule="auto"/>
        <w:ind w:right="673"/>
      </w:pPr>
      <w:r>
        <w:t>The institution should be fair and transparent in all the processes pertaining to the recruitment, appointment, promotion and teaching assignments of the teaching staff. The institution should provide opportunities to continuously develop the learning and teaching competencies of teaching staff to achieve the aim of qualified alumni competencies.</w:t>
      </w:r>
    </w:p>
    <w:p w14:paraId="1A30D999" w14:textId="77777777" w:rsidR="00B13357" w:rsidRDefault="00B13357">
      <w:pPr>
        <w:pStyle w:val="GvdeMetni"/>
        <w:ind w:left="0"/>
        <w:jc w:val="left"/>
        <w:rPr>
          <w:sz w:val="28"/>
        </w:rPr>
      </w:pPr>
    </w:p>
    <w:p w14:paraId="5F189095" w14:textId="77777777" w:rsidR="00B13357" w:rsidRDefault="00B13357">
      <w:pPr>
        <w:pStyle w:val="GvdeMetni"/>
        <w:spacing w:before="6"/>
        <w:ind w:left="0"/>
        <w:jc w:val="left"/>
        <w:rPr>
          <w:sz w:val="25"/>
        </w:rPr>
      </w:pPr>
    </w:p>
    <w:p w14:paraId="4C6F8157" w14:textId="531CB0A7" w:rsidR="00B13357" w:rsidRDefault="00875D06">
      <w:pPr>
        <w:pStyle w:val="P68B1DB1-ListeParagraf2"/>
        <w:numPr>
          <w:ilvl w:val="0"/>
          <w:numId w:val="6"/>
        </w:numPr>
        <w:tabs>
          <w:tab w:val="left" w:pos="938"/>
        </w:tabs>
        <w:jc w:val="both"/>
      </w:pPr>
      <w:bookmarkStart w:id="11" w:name="C._ARAŞTIRMA_VE_GELİŞTİRME"/>
      <w:bookmarkEnd w:id="11"/>
      <w:r>
        <w:t>RESEARCH</w:t>
      </w:r>
      <w:r>
        <w:rPr>
          <w:spacing w:val="-4"/>
        </w:rPr>
        <w:t xml:space="preserve"> </w:t>
      </w:r>
      <w:r>
        <w:t>AND</w:t>
      </w:r>
      <w:r>
        <w:rPr>
          <w:spacing w:val="-2"/>
        </w:rPr>
        <w:t xml:space="preserve"> </w:t>
      </w:r>
      <w:r>
        <w:t>DEVELOPMENT</w:t>
      </w:r>
    </w:p>
    <w:p w14:paraId="0EB1E1BE" w14:textId="54502813" w:rsidR="00B13357" w:rsidRDefault="00875D06">
      <w:pPr>
        <w:pStyle w:val="P68B1DB1-GvdeMetni4"/>
        <w:spacing w:before="24" w:line="259" w:lineRule="auto"/>
        <w:ind w:left="675" w:right="673"/>
      </w:pPr>
      <w:r>
        <w:t>(Artistic activities are also evaluated within this scope under the Research and Development heading in the higher education institutions which offer art education degrees.)</w:t>
      </w:r>
    </w:p>
    <w:p w14:paraId="6CC1BEF2" w14:textId="77777777" w:rsidR="00B13357" w:rsidRDefault="00875D06">
      <w:pPr>
        <w:pStyle w:val="P68B1DB1-ListeParagraf3"/>
        <w:numPr>
          <w:ilvl w:val="1"/>
          <w:numId w:val="6"/>
        </w:numPr>
        <w:tabs>
          <w:tab w:val="left" w:pos="1075"/>
        </w:tabs>
        <w:spacing w:before="180"/>
        <w:ind w:left="1074" w:hanging="399"/>
        <w:jc w:val="both"/>
      </w:pPr>
      <w:bookmarkStart w:id="12" w:name="C.1_Araştırma_Süreçlerinin_Yönetimi_ve_A"/>
      <w:bookmarkEnd w:id="12"/>
      <w:r>
        <w:t>Management of Research Processes and the Research Resources</w:t>
      </w:r>
    </w:p>
    <w:p w14:paraId="5FC729AC" w14:textId="77777777" w:rsidR="00B13357" w:rsidRDefault="00875D06">
      <w:pPr>
        <w:pStyle w:val="GvdeMetni"/>
        <w:spacing w:before="24" w:line="259" w:lineRule="auto"/>
        <w:ind w:left="675" w:right="673"/>
      </w:pPr>
      <w:r>
        <w:t>The institution should manage its research activities in a way that is aligned with its academic priorities determined within the framework of its strategic plan as well as the local, regional and national development objectives; adds value; and can be transformed into social benefit. The institution should provide the required physical infrastructure and financial resources for these activities and enable their effective use.</w:t>
      </w:r>
    </w:p>
    <w:p w14:paraId="76968AB7" w14:textId="77777777" w:rsidR="00B13357" w:rsidRDefault="00875D06">
      <w:pPr>
        <w:pStyle w:val="P68B1DB1-ListeParagraf3"/>
        <w:numPr>
          <w:ilvl w:val="1"/>
          <w:numId w:val="6"/>
        </w:numPr>
        <w:tabs>
          <w:tab w:val="left" w:pos="1082"/>
        </w:tabs>
        <w:spacing w:before="158"/>
        <w:ind w:left="1081" w:hanging="406"/>
        <w:jc w:val="both"/>
      </w:pPr>
      <w:bookmarkStart w:id="13" w:name="C.2_Araştırma_Yetkinliği,_İş_birlikleri_"/>
      <w:bookmarkEnd w:id="13"/>
      <w:r>
        <w:t xml:space="preserve"> Research Competence, Collaborations, and Supports </w:t>
      </w:r>
    </w:p>
    <w:p w14:paraId="08548984" w14:textId="77777777" w:rsidR="00B13357" w:rsidRDefault="00875D06">
      <w:pPr>
        <w:pStyle w:val="GvdeMetni"/>
        <w:spacing w:before="21" w:line="261" w:lineRule="auto"/>
        <w:ind w:right="674"/>
      </w:pPr>
      <w:r>
        <w:t>The institution should give opportunities (training, collaborations, supports, etc.) to teaching staff and researchers to maintain and improve their scientific research competence.</w:t>
      </w:r>
    </w:p>
    <w:p w14:paraId="2E2C4A52" w14:textId="77777777" w:rsidR="00B13357" w:rsidRDefault="00875D06">
      <w:pPr>
        <w:pStyle w:val="P68B1DB1-ListeParagraf3"/>
        <w:numPr>
          <w:ilvl w:val="1"/>
          <w:numId w:val="6"/>
        </w:numPr>
        <w:tabs>
          <w:tab w:val="left" w:pos="1082"/>
        </w:tabs>
        <w:spacing w:before="154"/>
        <w:ind w:left="1081" w:hanging="406"/>
        <w:jc w:val="both"/>
      </w:pPr>
      <w:bookmarkStart w:id="14" w:name="C.3_Araştırma_Performansı"/>
      <w:bookmarkEnd w:id="14"/>
      <w:r>
        <w:t>Research</w:t>
      </w:r>
      <w:r>
        <w:rPr>
          <w:spacing w:val="-5"/>
        </w:rPr>
        <w:t xml:space="preserve"> </w:t>
      </w:r>
      <w:r>
        <w:t>Performance</w:t>
      </w:r>
    </w:p>
    <w:p w14:paraId="742BFC8F" w14:textId="77777777" w:rsidR="00B13357" w:rsidRDefault="00875D06">
      <w:pPr>
        <w:pStyle w:val="GvdeMetni"/>
        <w:spacing w:before="24" w:line="259" w:lineRule="auto"/>
        <w:ind w:right="677"/>
      </w:pPr>
      <w:r>
        <w:t xml:space="preserve">The institution should periodically measure and evaluate its research activities on the basis of data and publish their results. The obtained data should be employed for the periodic review and continuous improvement of the institution's research </w:t>
      </w:r>
      <w:r>
        <w:lastRenderedPageBreak/>
        <w:t>and development performance.</w:t>
      </w:r>
    </w:p>
    <w:p w14:paraId="5684F2CF" w14:textId="77777777" w:rsidR="00B13357" w:rsidRDefault="00B13357">
      <w:pPr>
        <w:spacing w:line="259" w:lineRule="auto"/>
        <w:sectPr w:rsidR="00B13357">
          <w:pgSz w:w="11910" w:h="16840"/>
          <w:pgMar w:top="1320" w:right="740" w:bottom="280" w:left="740" w:header="708" w:footer="708" w:gutter="0"/>
          <w:cols w:space="708"/>
        </w:sectPr>
      </w:pPr>
    </w:p>
    <w:p w14:paraId="4563C897" w14:textId="77777777" w:rsidR="00B13357" w:rsidRDefault="00875D06">
      <w:pPr>
        <w:pStyle w:val="P68B1DB1-ListeParagraf2"/>
        <w:numPr>
          <w:ilvl w:val="0"/>
          <w:numId w:val="6"/>
        </w:numPr>
        <w:tabs>
          <w:tab w:val="left" w:pos="952"/>
        </w:tabs>
        <w:spacing w:before="77"/>
        <w:ind w:left="952" w:hanging="276"/>
        <w:jc w:val="both"/>
      </w:pPr>
      <w:bookmarkStart w:id="15" w:name="D._TOPLUMSAL_KATKI"/>
      <w:bookmarkEnd w:id="15"/>
      <w:r>
        <w:lastRenderedPageBreak/>
        <w:t>SERVICE</w:t>
      </w:r>
      <w:r>
        <w:rPr>
          <w:spacing w:val="-5"/>
        </w:rPr>
        <w:t xml:space="preserve"> </w:t>
      </w:r>
      <w:r>
        <w:t>TO SOCIETY</w:t>
      </w:r>
    </w:p>
    <w:p w14:paraId="20131715" w14:textId="77777777" w:rsidR="00B13357" w:rsidRDefault="00875D06">
      <w:pPr>
        <w:pStyle w:val="P68B1DB1-ListeParagraf3"/>
        <w:numPr>
          <w:ilvl w:val="1"/>
          <w:numId w:val="6"/>
        </w:numPr>
        <w:tabs>
          <w:tab w:val="left" w:pos="1087"/>
        </w:tabs>
        <w:spacing w:before="182"/>
        <w:ind w:left="1086" w:hanging="411"/>
        <w:jc w:val="both"/>
      </w:pPr>
      <w:bookmarkStart w:id="16" w:name="D.1_Toplumsal_Katkı_Süreçlerinin_Yönetim"/>
      <w:bookmarkEnd w:id="16"/>
      <w:r>
        <w:t xml:space="preserve">Management of Service to Society Processes and the Service to Society Resources </w:t>
      </w:r>
    </w:p>
    <w:p w14:paraId="17694C62" w14:textId="77777777" w:rsidR="00B13357" w:rsidRDefault="00875D06">
      <w:pPr>
        <w:pStyle w:val="GvdeMetni"/>
        <w:spacing w:before="22" w:line="259" w:lineRule="auto"/>
        <w:ind w:left="675" w:right="674"/>
      </w:pPr>
      <w:r>
        <w:t>The institution should manage its service to society activities in accordance with its strategic objectives and goals. The institution should provide the required physical infrastructure and financial resources for these activities and enable their effective use.</w:t>
      </w:r>
    </w:p>
    <w:p w14:paraId="3DA41794" w14:textId="77777777" w:rsidR="00B13357" w:rsidRDefault="00875D06">
      <w:pPr>
        <w:pStyle w:val="P68B1DB1-ListeParagraf3"/>
        <w:numPr>
          <w:ilvl w:val="1"/>
          <w:numId w:val="6"/>
        </w:numPr>
        <w:tabs>
          <w:tab w:val="left" w:pos="1096"/>
        </w:tabs>
        <w:spacing w:before="161"/>
        <w:ind w:left="1096" w:hanging="420"/>
        <w:jc w:val="both"/>
      </w:pPr>
      <w:bookmarkStart w:id="17" w:name="D.2_Toplumsal_Katkı_Performansı"/>
      <w:bookmarkEnd w:id="17"/>
      <w:r>
        <w:t>Service to Society Performance</w:t>
      </w:r>
    </w:p>
    <w:p w14:paraId="5B2969A6" w14:textId="77777777" w:rsidR="00B13357" w:rsidRDefault="00875D06">
      <w:pPr>
        <w:pStyle w:val="GvdeMetni"/>
        <w:spacing w:before="22" w:line="259" w:lineRule="auto"/>
        <w:ind w:right="673"/>
      </w:pPr>
      <w:r>
        <w:t>The institution should periodically review and continuously improve the activities it maintains in line with its service to society strategy and objectives.</w:t>
      </w:r>
    </w:p>
    <w:p w14:paraId="5EC6D9D2" w14:textId="77777777" w:rsidR="00B13357" w:rsidRDefault="00B13357">
      <w:pPr>
        <w:pStyle w:val="GvdeMetni"/>
        <w:ind w:left="0"/>
        <w:jc w:val="left"/>
        <w:rPr>
          <w:sz w:val="28"/>
        </w:rPr>
      </w:pPr>
    </w:p>
    <w:p w14:paraId="0D9F494C" w14:textId="77777777" w:rsidR="00B13357" w:rsidRDefault="00B13357">
      <w:pPr>
        <w:pStyle w:val="GvdeMetni"/>
        <w:spacing w:before="7"/>
        <w:ind w:left="0"/>
        <w:jc w:val="left"/>
        <w:rPr>
          <w:sz w:val="25"/>
        </w:rPr>
      </w:pPr>
    </w:p>
    <w:p w14:paraId="32CBB3B0" w14:textId="0092B048" w:rsidR="00B13357" w:rsidRDefault="00875D06">
      <w:pPr>
        <w:ind w:left="1321" w:right="1322"/>
        <w:jc w:val="center"/>
      </w:pPr>
      <w:r>
        <w:t>Table 1. The relevance between ESG-2015 and the THEQC Evaluation Criteria</w:t>
      </w:r>
    </w:p>
    <w:p w14:paraId="4BB940ED" w14:textId="77777777" w:rsidR="00B13357" w:rsidRDefault="00B13357">
      <w:pPr>
        <w:pStyle w:val="GvdeMetni"/>
        <w:spacing w:before="1"/>
        <w:ind w:left="0"/>
        <w:jc w:val="left"/>
        <w:rPr>
          <w:sz w:val="21"/>
        </w:rPr>
      </w:pPr>
    </w:p>
    <w:tbl>
      <w:tblPr>
        <w:tblStyle w:val="TableNormal"/>
        <w:tblW w:w="0" w:type="auto"/>
        <w:tblInd w:w="119" w:type="dxa"/>
        <w:tblBorders>
          <w:top w:val="single" w:sz="6" w:space="0" w:color="5B9BD4"/>
          <w:left w:val="single" w:sz="6" w:space="0" w:color="5B9BD4"/>
          <w:bottom w:val="single" w:sz="6" w:space="0" w:color="5B9BD4"/>
          <w:right w:val="single" w:sz="6" w:space="0" w:color="5B9BD4"/>
          <w:insideH w:val="single" w:sz="6" w:space="0" w:color="5B9BD4"/>
          <w:insideV w:val="single" w:sz="6" w:space="0" w:color="5B9BD4"/>
        </w:tblBorders>
        <w:tblLayout w:type="fixed"/>
        <w:tblLook w:val="01E0" w:firstRow="1" w:lastRow="1" w:firstColumn="1" w:lastColumn="1" w:noHBand="0" w:noVBand="0"/>
      </w:tblPr>
      <w:tblGrid>
        <w:gridCol w:w="1414"/>
        <w:gridCol w:w="3970"/>
        <w:gridCol w:w="4820"/>
      </w:tblGrid>
      <w:tr w:rsidR="00B13357" w14:paraId="4A0497E4" w14:textId="77777777">
        <w:trPr>
          <w:trHeight w:val="472"/>
        </w:trPr>
        <w:tc>
          <w:tcPr>
            <w:tcW w:w="5384" w:type="dxa"/>
            <w:gridSpan w:val="2"/>
            <w:tcBorders>
              <w:top w:val="nil"/>
              <w:left w:val="nil"/>
              <w:bottom w:val="nil"/>
              <w:right w:val="nil"/>
            </w:tcBorders>
            <w:shd w:val="clear" w:color="auto" w:fill="5B9BD4"/>
          </w:tcPr>
          <w:p w14:paraId="1CFCA3B5" w14:textId="013CC177" w:rsidR="00B13357" w:rsidRDefault="00875D06">
            <w:pPr>
              <w:pStyle w:val="P68B1DB1-TableParagraph5"/>
              <w:spacing w:before="118"/>
              <w:ind w:left="177"/>
            </w:pPr>
            <w:r>
              <w:t>The THEQC Evaluation Criteria</w:t>
            </w:r>
          </w:p>
        </w:tc>
        <w:tc>
          <w:tcPr>
            <w:tcW w:w="4820" w:type="dxa"/>
            <w:tcBorders>
              <w:top w:val="nil"/>
              <w:left w:val="nil"/>
              <w:bottom w:val="nil"/>
              <w:right w:val="nil"/>
            </w:tcBorders>
            <w:shd w:val="clear" w:color="auto" w:fill="5B9BD4"/>
          </w:tcPr>
          <w:p w14:paraId="232127E7" w14:textId="77777777" w:rsidR="00B13357" w:rsidRDefault="00875D06">
            <w:pPr>
              <w:pStyle w:val="P68B1DB1-TableParagraph5"/>
              <w:spacing w:before="118"/>
              <w:ind w:left="1379"/>
            </w:pPr>
            <w:r>
              <w:t>Standards in Part 1 of ESG</w:t>
            </w:r>
          </w:p>
        </w:tc>
      </w:tr>
      <w:tr w:rsidR="00B13357" w14:paraId="73A0D67B" w14:textId="77777777">
        <w:trPr>
          <w:trHeight w:val="1700"/>
        </w:trPr>
        <w:tc>
          <w:tcPr>
            <w:tcW w:w="1414" w:type="dxa"/>
            <w:tcBorders>
              <w:left w:val="single" w:sz="4" w:space="0" w:color="5B9BD4"/>
            </w:tcBorders>
            <w:shd w:val="clear" w:color="auto" w:fill="DEEAF6"/>
            <w:textDirection w:val="btLr"/>
          </w:tcPr>
          <w:p w14:paraId="2D43F0E7" w14:textId="77777777" w:rsidR="00B13357" w:rsidRDefault="00B13357">
            <w:pPr>
              <w:pStyle w:val="TableParagraph"/>
              <w:spacing w:before="120"/>
              <w:ind w:left="297"/>
              <w:rPr>
                <w:spacing w:val="-1"/>
                <w:sz w:val="18"/>
              </w:rPr>
            </w:pPr>
          </w:p>
          <w:p w14:paraId="227D970D" w14:textId="5F26EEC6" w:rsidR="00B13357" w:rsidRDefault="00875D06">
            <w:pPr>
              <w:pStyle w:val="P68B1DB1-TableParagraph6"/>
              <w:spacing w:before="120" w:line="283" w:lineRule="auto"/>
              <w:ind w:left="113" w:right="446"/>
              <w:jc w:val="both"/>
            </w:pPr>
            <w:r>
              <w:t>A.LEADERSHIP, GOVERNANCE AND QUALITY</w:t>
            </w:r>
          </w:p>
        </w:tc>
        <w:tc>
          <w:tcPr>
            <w:tcW w:w="3970" w:type="dxa"/>
            <w:shd w:val="clear" w:color="auto" w:fill="DEEAF6"/>
          </w:tcPr>
          <w:p w14:paraId="47188BFD" w14:textId="77777777" w:rsidR="00B13357" w:rsidRDefault="00B13357">
            <w:pPr>
              <w:pStyle w:val="TableParagraph"/>
              <w:spacing w:before="4"/>
              <w:ind w:left="0"/>
              <w:rPr>
                <w:sz w:val="21"/>
              </w:rPr>
            </w:pPr>
          </w:p>
          <w:p w14:paraId="13BF4094" w14:textId="77777777" w:rsidR="00B13357" w:rsidRDefault="00875D06">
            <w:pPr>
              <w:pStyle w:val="P68B1DB1-TableParagraph7"/>
              <w:numPr>
                <w:ilvl w:val="1"/>
                <w:numId w:val="5"/>
              </w:numPr>
              <w:tabs>
                <w:tab w:val="left" w:pos="446"/>
              </w:tabs>
              <w:ind w:hanging="342"/>
            </w:pPr>
            <w:r>
              <w:t>Leadership</w:t>
            </w:r>
            <w:r>
              <w:rPr>
                <w:spacing w:val="-4"/>
              </w:rPr>
              <w:t xml:space="preserve"> </w:t>
            </w:r>
            <w:r>
              <w:t>and</w:t>
            </w:r>
            <w:r>
              <w:rPr>
                <w:spacing w:val="-2"/>
              </w:rPr>
              <w:t xml:space="preserve"> </w:t>
            </w:r>
            <w:r>
              <w:t>Quality</w:t>
            </w:r>
          </w:p>
          <w:p w14:paraId="2B1D352D" w14:textId="77777777" w:rsidR="00B13357" w:rsidRDefault="00875D06">
            <w:pPr>
              <w:pStyle w:val="P68B1DB1-TableParagraph7"/>
              <w:numPr>
                <w:ilvl w:val="1"/>
                <w:numId w:val="5"/>
              </w:numPr>
              <w:tabs>
                <w:tab w:val="left" w:pos="451"/>
              </w:tabs>
              <w:spacing w:before="31"/>
              <w:ind w:left="450" w:hanging="347"/>
            </w:pPr>
            <w:r>
              <w:t>Mission</w:t>
            </w:r>
            <w:r>
              <w:rPr>
                <w:spacing w:val="-4"/>
              </w:rPr>
              <w:t xml:space="preserve"> </w:t>
            </w:r>
            <w:r>
              <w:t>and</w:t>
            </w:r>
            <w:r>
              <w:rPr>
                <w:spacing w:val="-5"/>
              </w:rPr>
              <w:t xml:space="preserve"> </w:t>
            </w:r>
            <w:r>
              <w:t>Strategic Goals</w:t>
            </w:r>
          </w:p>
          <w:p w14:paraId="1A8DB6CC" w14:textId="77777777" w:rsidR="00B13357" w:rsidRDefault="00875D06">
            <w:pPr>
              <w:pStyle w:val="P68B1DB1-TableParagraph7"/>
              <w:numPr>
                <w:ilvl w:val="1"/>
                <w:numId w:val="5"/>
              </w:numPr>
              <w:tabs>
                <w:tab w:val="left" w:pos="451"/>
              </w:tabs>
              <w:spacing w:before="31"/>
              <w:ind w:left="450" w:hanging="347"/>
            </w:pPr>
            <w:r>
              <w:t>Governance</w:t>
            </w:r>
            <w:r>
              <w:rPr>
                <w:spacing w:val="-2"/>
              </w:rPr>
              <w:t xml:space="preserve"> </w:t>
            </w:r>
            <w:r>
              <w:t>Systems</w:t>
            </w:r>
          </w:p>
          <w:p w14:paraId="49AA7378" w14:textId="77777777" w:rsidR="00B13357" w:rsidRDefault="00875D06">
            <w:pPr>
              <w:pStyle w:val="P68B1DB1-TableParagraph7"/>
              <w:numPr>
                <w:ilvl w:val="1"/>
                <w:numId w:val="5"/>
              </w:numPr>
              <w:tabs>
                <w:tab w:val="left" w:pos="456"/>
              </w:tabs>
              <w:spacing w:before="32"/>
              <w:ind w:left="455" w:hanging="352"/>
            </w:pPr>
            <w:r>
              <w:t>Stakeholder</w:t>
            </w:r>
            <w:r>
              <w:rPr>
                <w:spacing w:val="-4"/>
              </w:rPr>
              <w:t xml:space="preserve"> </w:t>
            </w:r>
            <w:r>
              <w:t>Involvement</w:t>
            </w:r>
          </w:p>
          <w:p w14:paraId="2B1CA7C0" w14:textId="77777777" w:rsidR="00B13357" w:rsidRDefault="00875D06">
            <w:pPr>
              <w:pStyle w:val="P68B1DB1-TableParagraph7"/>
              <w:numPr>
                <w:ilvl w:val="1"/>
                <w:numId w:val="5"/>
              </w:numPr>
              <w:tabs>
                <w:tab w:val="left" w:pos="451"/>
              </w:tabs>
              <w:spacing w:before="31"/>
              <w:ind w:left="450" w:hanging="347"/>
            </w:pPr>
            <w:r>
              <w:t>Internationalization</w:t>
            </w:r>
          </w:p>
        </w:tc>
        <w:tc>
          <w:tcPr>
            <w:tcW w:w="4820" w:type="dxa"/>
            <w:tcBorders>
              <w:right w:val="single" w:sz="4" w:space="0" w:color="5B9BD4"/>
            </w:tcBorders>
            <w:shd w:val="clear" w:color="auto" w:fill="DEEAF6"/>
          </w:tcPr>
          <w:p w14:paraId="055C2C79" w14:textId="77777777" w:rsidR="00B13357" w:rsidRDefault="00B13357">
            <w:pPr>
              <w:pStyle w:val="TableParagraph"/>
              <w:ind w:left="0"/>
              <w:rPr>
                <w:sz w:val="20"/>
              </w:rPr>
            </w:pPr>
          </w:p>
          <w:p w14:paraId="3C22C884" w14:textId="77777777" w:rsidR="00B13357" w:rsidRDefault="00875D06">
            <w:pPr>
              <w:pStyle w:val="P68B1DB1-TableParagraph7"/>
              <w:spacing w:before="136"/>
            </w:pPr>
            <w:r>
              <w:t>1.1.</w:t>
            </w:r>
            <w:r>
              <w:rPr>
                <w:spacing w:val="-2"/>
              </w:rPr>
              <w:t xml:space="preserve"> </w:t>
            </w:r>
            <w:r>
              <w:t>Policy for Quality Assurance</w:t>
            </w:r>
          </w:p>
          <w:p w14:paraId="1D735063" w14:textId="77777777" w:rsidR="00B13357" w:rsidRDefault="00875D06">
            <w:pPr>
              <w:pStyle w:val="P68B1DB1-TableParagraph7"/>
              <w:numPr>
                <w:ilvl w:val="1"/>
                <w:numId w:val="4"/>
              </w:numPr>
              <w:tabs>
                <w:tab w:val="left" w:pos="431"/>
              </w:tabs>
              <w:spacing w:before="31"/>
            </w:pPr>
            <w:r>
              <w:t>Information Management</w:t>
            </w:r>
          </w:p>
          <w:p w14:paraId="6BDFB709" w14:textId="77777777" w:rsidR="00B13357" w:rsidRDefault="00875D06">
            <w:pPr>
              <w:pStyle w:val="P68B1DB1-TableParagraph7"/>
              <w:numPr>
                <w:ilvl w:val="1"/>
                <w:numId w:val="4"/>
              </w:numPr>
              <w:tabs>
                <w:tab w:val="left" w:pos="441"/>
              </w:tabs>
              <w:spacing w:before="31"/>
              <w:ind w:left="440" w:hanging="337"/>
            </w:pPr>
            <w:r>
              <w:t>Public Information</w:t>
            </w:r>
          </w:p>
          <w:p w14:paraId="007DC2A5" w14:textId="77777777" w:rsidR="00B13357" w:rsidRDefault="00875D06">
            <w:pPr>
              <w:pStyle w:val="P68B1DB1-TableParagraph7"/>
              <w:spacing w:before="31"/>
            </w:pPr>
            <w:r>
              <w:t>1.10.</w:t>
            </w:r>
            <w:r>
              <w:rPr>
                <w:spacing w:val="-3"/>
              </w:rPr>
              <w:t xml:space="preserve"> </w:t>
            </w:r>
            <w:r>
              <w:t>Cyclical External Quality Assurance</w:t>
            </w:r>
          </w:p>
        </w:tc>
      </w:tr>
      <w:tr w:rsidR="00B13357" w14:paraId="683A15F1" w14:textId="77777777">
        <w:trPr>
          <w:trHeight w:val="2161"/>
        </w:trPr>
        <w:tc>
          <w:tcPr>
            <w:tcW w:w="1414" w:type="dxa"/>
            <w:tcBorders>
              <w:left w:val="single" w:sz="4" w:space="0" w:color="5B9BD4"/>
            </w:tcBorders>
            <w:textDirection w:val="btLr"/>
          </w:tcPr>
          <w:p w14:paraId="7C5122C5" w14:textId="77777777" w:rsidR="00B13357" w:rsidRDefault="00B13357">
            <w:pPr>
              <w:pStyle w:val="TableParagraph"/>
              <w:ind w:left="0"/>
              <w:rPr>
                <w:sz w:val="20"/>
              </w:rPr>
            </w:pPr>
          </w:p>
          <w:p w14:paraId="4FAFCF22" w14:textId="77777777" w:rsidR="00B13357" w:rsidRDefault="00B13357">
            <w:pPr>
              <w:pStyle w:val="TableParagraph"/>
              <w:ind w:left="0"/>
              <w:rPr>
                <w:sz w:val="20"/>
              </w:rPr>
            </w:pPr>
          </w:p>
          <w:p w14:paraId="26AA3706" w14:textId="73A30954" w:rsidR="00B13357" w:rsidRDefault="00875D06">
            <w:pPr>
              <w:pStyle w:val="P68B1DB1-TableParagraph7"/>
              <w:spacing w:before="120"/>
              <w:ind w:left="297"/>
            </w:pPr>
            <w:r>
              <w:rPr>
                <w:spacing w:val="-1"/>
              </w:rPr>
              <w:t>B.</w:t>
            </w:r>
            <w:r>
              <w:rPr>
                <w:spacing w:val="-8"/>
              </w:rPr>
              <w:t xml:space="preserve"> </w:t>
            </w:r>
            <w:r>
              <w:rPr>
                <w:spacing w:val="-1"/>
              </w:rPr>
              <w:t>LEARNING AND TEACHING</w:t>
            </w:r>
          </w:p>
        </w:tc>
        <w:tc>
          <w:tcPr>
            <w:tcW w:w="3970" w:type="dxa"/>
          </w:tcPr>
          <w:p w14:paraId="6B0DBBB1" w14:textId="77777777" w:rsidR="00B13357" w:rsidRDefault="00875D06">
            <w:pPr>
              <w:pStyle w:val="P68B1DB1-TableParagraph7"/>
              <w:numPr>
                <w:ilvl w:val="1"/>
                <w:numId w:val="3"/>
              </w:numPr>
              <w:tabs>
                <w:tab w:val="left" w:pos="453"/>
              </w:tabs>
              <w:spacing w:before="3" w:line="276" w:lineRule="auto"/>
              <w:ind w:right="360" w:firstLine="0"/>
            </w:pPr>
            <w:r>
              <w:t>B1. Program</w:t>
            </w:r>
            <w:r>
              <w:rPr>
                <w:spacing w:val="-6"/>
              </w:rPr>
              <w:t xml:space="preserve"> </w:t>
            </w:r>
            <w:r>
              <w:t>Design,</w:t>
            </w:r>
            <w:r>
              <w:rPr>
                <w:spacing w:val="-5"/>
              </w:rPr>
              <w:t xml:space="preserve"> </w:t>
            </w:r>
            <w:r>
              <w:t>Evaluation</w:t>
            </w:r>
            <w:r>
              <w:rPr>
                <w:spacing w:val="-7"/>
              </w:rPr>
              <w:t xml:space="preserve"> </w:t>
            </w:r>
            <w:r>
              <w:t>and</w:t>
            </w:r>
            <w:r>
              <w:rPr>
                <w:spacing w:val="-36"/>
              </w:rPr>
              <w:t xml:space="preserve"> </w:t>
            </w:r>
            <w:r>
              <w:t>Update</w:t>
            </w:r>
          </w:p>
          <w:p w14:paraId="08E65F54" w14:textId="77777777" w:rsidR="00B13357" w:rsidRDefault="00875D06">
            <w:pPr>
              <w:pStyle w:val="P68B1DB1-TableParagraph7"/>
              <w:numPr>
                <w:ilvl w:val="1"/>
                <w:numId w:val="3"/>
              </w:numPr>
              <w:tabs>
                <w:tab w:val="left" w:pos="458"/>
              </w:tabs>
              <w:spacing w:line="276" w:lineRule="auto"/>
              <w:ind w:right="638" w:firstLine="0"/>
            </w:pPr>
            <w:r>
              <w:t>Implementation of Programs (Student-centered Learning, Teaching and Evaluation)</w:t>
            </w:r>
          </w:p>
          <w:p w14:paraId="08E3CDE5" w14:textId="77777777" w:rsidR="00B13357" w:rsidRDefault="00875D06">
            <w:pPr>
              <w:pStyle w:val="P68B1DB1-TableParagraph7"/>
              <w:numPr>
                <w:ilvl w:val="1"/>
                <w:numId w:val="3"/>
              </w:numPr>
              <w:tabs>
                <w:tab w:val="left" w:pos="458"/>
              </w:tabs>
              <w:spacing w:line="276" w:lineRule="auto"/>
              <w:ind w:right="139" w:firstLine="0"/>
            </w:pPr>
            <w:r>
              <w:t>Learning Resources and Academic Support Services</w:t>
            </w:r>
          </w:p>
          <w:p w14:paraId="265E7C65" w14:textId="77777777" w:rsidR="00B13357" w:rsidRDefault="00875D06">
            <w:pPr>
              <w:pStyle w:val="P68B1DB1-TableParagraph7"/>
              <w:numPr>
                <w:ilvl w:val="1"/>
                <w:numId w:val="3"/>
              </w:numPr>
              <w:tabs>
                <w:tab w:val="left" w:pos="461"/>
              </w:tabs>
              <w:spacing w:line="208" w:lineRule="exact"/>
              <w:ind w:left="460" w:hanging="357"/>
            </w:pPr>
            <w:r>
              <w:t>Teaching Staff</w:t>
            </w:r>
          </w:p>
        </w:tc>
        <w:tc>
          <w:tcPr>
            <w:tcW w:w="4820" w:type="dxa"/>
            <w:tcBorders>
              <w:right w:val="single" w:sz="4" w:space="0" w:color="5B9BD4"/>
            </w:tcBorders>
          </w:tcPr>
          <w:p w14:paraId="11D6FCFF" w14:textId="77777777" w:rsidR="00B13357" w:rsidRDefault="00875D06">
            <w:pPr>
              <w:pStyle w:val="P68B1DB1-TableParagraph7"/>
              <w:numPr>
                <w:ilvl w:val="1"/>
                <w:numId w:val="2"/>
              </w:numPr>
              <w:tabs>
                <w:tab w:val="left" w:pos="441"/>
              </w:tabs>
              <w:spacing w:before="122"/>
              <w:ind w:hanging="337"/>
            </w:pPr>
            <w:r>
              <w:t xml:space="preserve"> Design and Approval of Programmes</w:t>
            </w:r>
          </w:p>
          <w:p w14:paraId="7FB46EFE" w14:textId="77777777" w:rsidR="00B13357" w:rsidRDefault="00875D06">
            <w:pPr>
              <w:pStyle w:val="P68B1DB1-TableParagraph7"/>
              <w:numPr>
                <w:ilvl w:val="1"/>
                <w:numId w:val="2"/>
              </w:numPr>
              <w:tabs>
                <w:tab w:val="left" w:pos="441"/>
              </w:tabs>
              <w:spacing w:before="32"/>
              <w:ind w:hanging="337"/>
            </w:pPr>
            <w:r>
              <w:t>Student-centred Learning, Teaching and Assessment</w:t>
            </w:r>
          </w:p>
          <w:p w14:paraId="4812F47E" w14:textId="77777777" w:rsidR="00B13357" w:rsidRDefault="00875D06">
            <w:pPr>
              <w:pStyle w:val="P68B1DB1-TableParagraph7"/>
              <w:numPr>
                <w:ilvl w:val="1"/>
                <w:numId w:val="2"/>
              </w:numPr>
              <w:tabs>
                <w:tab w:val="left" w:pos="443"/>
              </w:tabs>
              <w:spacing w:before="31" w:line="276" w:lineRule="auto"/>
              <w:ind w:left="104" w:right="1395" w:firstLine="0"/>
            </w:pPr>
            <w:r>
              <w:t>Student Admission, Progression, Recognition and Certification</w:t>
            </w:r>
          </w:p>
          <w:p w14:paraId="1A3A671C" w14:textId="77777777" w:rsidR="00B13357" w:rsidRDefault="00875D06">
            <w:pPr>
              <w:pStyle w:val="P68B1DB1-TableParagraph7"/>
              <w:numPr>
                <w:ilvl w:val="1"/>
                <w:numId w:val="2"/>
              </w:numPr>
              <w:tabs>
                <w:tab w:val="left" w:pos="439"/>
              </w:tabs>
              <w:spacing w:line="208" w:lineRule="exact"/>
              <w:ind w:left="438" w:hanging="335"/>
            </w:pPr>
            <w:r>
              <w:t>Teaching Staff</w:t>
            </w:r>
          </w:p>
          <w:p w14:paraId="4D924EC6" w14:textId="77777777" w:rsidR="00B13357" w:rsidRDefault="00875D06">
            <w:pPr>
              <w:pStyle w:val="P68B1DB1-TableParagraph7"/>
              <w:numPr>
                <w:ilvl w:val="1"/>
                <w:numId w:val="2"/>
              </w:numPr>
              <w:tabs>
                <w:tab w:val="left" w:pos="441"/>
              </w:tabs>
              <w:spacing w:before="31"/>
              <w:ind w:hanging="337"/>
            </w:pPr>
            <w:r>
              <w:t>Learning Resources and Academic Support Services</w:t>
            </w:r>
          </w:p>
          <w:p w14:paraId="00E4E537" w14:textId="77777777" w:rsidR="00B13357" w:rsidRDefault="00875D06">
            <w:pPr>
              <w:pStyle w:val="P68B1DB1-TableParagraph7"/>
              <w:spacing w:before="31" w:line="276" w:lineRule="auto"/>
              <w:ind w:right="438"/>
            </w:pPr>
            <w:r>
              <w:t>1.9. On-going Monitoring and Periodic Review of Programmes</w:t>
            </w:r>
          </w:p>
        </w:tc>
      </w:tr>
      <w:tr w:rsidR="00B13357" w14:paraId="63FB1311" w14:textId="77777777">
        <w:trPr>
          <w:trHeight w:val="1986"/>
        </w:trPr>
        <w:tc>
          <w:tcPr>
            <w:tcW w:w="1414" w:type="dxa"/>
            <w:tcBorders>
              <w:left w:val="single" w:sz="4" w:space="0" w:color="5B9BD4"/>
            </w:tcBorders>
            <w:shd w:val="clear" w:color="auto" w:fill="DEEAF6"/>
            <w:textDirection w:val="btLr"/>
          </w:tcPr>
          <w:p w14:paraId="1768A9C7" w14:textId="77777777" w:rsidR="00B13357" w:rsidRDefault="00B13357">
            <w:pPr>
              <w:pStyle w:val="TableParagraph"/>
              <w:ind w:left="0"/>
              <w:rPr>
                <w:sz w:val="29"/>
              </w:rPr>
            </w:pPr>
          </w:p>
          <w:p w14:paraId="2545F376" w14:textId="77777777" w:rsidR="00B13357" w:rsidRDefault="00875D06">
            <w:pPr>
              <w:pStyle w:val="P68B1DB1-TableParagraph7"/>
              <w:spacing w:line="283" w:lineRule="auto"/>
              <w:ind w:left="498" w:right="273" w:hanging="212"/>
            </w:pPr>
            <w:r>
              <w:rPr>
                <w:spacing w:val="-2"/>
              </w:rPr>
              <w:t xml:space="preserve">C. RESEARCH </w:t>
            </w:r>
            <w:r>
              <w:rPr>
                <w:spacing w:val="-1"/>
              </w:rPr>
              <w:t>AND</w:t>
            </w:r>
            <w:r>
              <w:rPr>
                <w:spacing w:val="-37"/>
              </w:rPr>
              <w:t xml:space="preserve"> </w:t>
            </w:r>
            <w:r>
              <w:t>DEVELOPMENT</w:t>
            </w:r>
          </w:p>
          <w:p w14:paraId="0799CA3D" w14:textId="74A354A6" w:rsidR="00B13357" w:rsidRDefault="00B13357">
            <w:pPr>
              <w:pStyle w:val="TableParagraph"/>
              <w:spacing w:before="2"/>
              <w:ind w:left="122"/>
              <w:rPr>
                <w:sz w:val="18"/>
              </w:rPr>
            </w:pPr>
          </w:p>
        </w:tc>
        <w:tc>
          <w:tcPr>
            <w:tcW w:w="3970" w:type="dxa"/>
            <w:shd w:val="clear" w:color="auto" w:fill="DEEAF6"/>
          </w:tcPr>
          <w:p w14:paraId="31F04DDE" w14:textId="77777777" w:rsidR="00B13357" w:rsidRDefault="00875D06">
            <w:pPr>
              <w:pStyle w:val="P68B1DB1-TableParagraph7"/>
              <w:numPr>
                <w:ilvl w:val="1"/>
                <w:numId w:val="1"/>
              </w:numPr>
              <w:tabs>
                <w:tab w:val="left" w:pos="446"/>
              </w:tabs>
              <w:spacing w:before="34" w:line="276" w:lineRule="auto"/>
              <w:ind w:right="663" w:firstLine="0"/>
            </w:pPr>
            <w:r>
              <w:t>Management of Research Processes and the Research Resources</w:t>
            </w:r>
          </w:p>
          <w:p w14:paraId="6AE810F7" w14:textId="77777777" w:rsidR="00B13357" w:rsidRDefault="00875D06">
            <w:pPr>
              <w:pStyle w:val="P68B1DB1-TableParagraph7"/>
              <w:numPr>
                <w:ilvl w:val="1"/>
                <w:numId w:val="1"/>
              </w:numPr>
              <w:tabs>
                <w:tab w:val="left" w:pos="453"/>
              </w:tabs>
              <w:spacing w:line="276" w:lineRule="auto"/>
              <w:ind w:right="742" w:firstLine="0"/>
            </w:pPr>
            <w:r>
              <w:t xml:space="preserve"> Research Competence, Collaborations, and Supports </w:t>
            </w:r>
          </w:p>
          <w:p w14:paraId="63DFD355" w14:textId="77777777" w:rsidR="00B13357" w:rsidRDefault="00875D06">
            <w:pPr>
              <w:pStyle w:val="P68B1DB1-TableParagraph7"/>
              <w:numPr>
                <w:ilvl w:val="1"/>
                <w:numId w:val="1"/>
              </w:numPr>
              <w:tabs>
                <w:tab w:val="left" w:pos="453"/>
              </w:tabs>
              <w:spacing w:line="209" w:lineRule="exact"/>
              <w:ind w:left="452" w:hanging="349"/>
            </w:pPr>
            <w:r>
              <w:t>Research</w:t>
            </w:r>
            <w:r>
              <w:rPr>
                <w:spacing w:val="-6"/>
              </w:rPr>
              <w:t xml:space="preserve"> </w:t>
            </w:r>
            <w:r>
              <w:t>Performance</w:t>
            </w:r>
          </w:p>
          <w:p w14:paraId="5829F745" w14:textId="049C6457" w:rsidR="00B13357" w:rsidRDefault="00B13357">
            <w:pPr>
              <w:pStyle w:val="TableParagraph"/>
              <w:spacing w:line="209" w:lineRule="exact"/>
              <w:rPr>
                <w:sz w:val="18"/>
              </w:rPr>
            </w:pPr>
          </w:p>
        </w:tc>
        <w:tc>
          <w:tcPr>
            <w:tcW w:w="4820" w:type="dxa"/>
            <w:tcBorders>
              <w:right w:val="single" w:sz="4" w:space="0" w:color="5B9BD4"/>
            </w:tcBorders>
            <w:shd w:val="clear" w:color="auto" w:fill="DEEAF6"/>
          </w:tcPr>
          <w:p w14:paraId="5CFFFF89" w14:textId="77777777" w:rsidR="00B13357" w:rsidRDefault="00B13357">
            <w:pPr>
              <w:pStyle w:val="TableParagraph"/>
              <w:ind w:left="0"/>
              <w:rPr>
                <w:rFonts w:ascii="Times New Roman"/>
                <w:sz w:val="18"/>
              </w:rPr>
            </w:pPr>
          </w:p>
        </w:tc>
      </w:tr>
      <w:tr w:rsidR="00B13357" w14:paraId="287E52B9" w14:textId="77777777">
        <w:trPr>
          <w:trHeight w:val="1986"/>
        </w:trPr>
        <w:tc>
          <w:tcPr>
            <w:tcW w:w="1414" w:type="dxa"/>
            <w:tcBorders>
              <w:left w:val="single" w:sz="4" w:space="0" w:color="5B9BD4"/>
              <w:bottom w:val="single" w:sz="4" w:space="0" w:color="5B9BD4"/>
            </w:tcBorders>
            <w:shd w:val="clear" w:color="auto" w:fill="DEEAF6"/>
            <w:textDirection w:val="btLr"/>
          </w:tcPr>
          <w:p w14:paraId="2B62B078" w14:textId="77777777" w:rsidR="00B13357" w:rsidRDefault="00B13357">
            <w:pPr>
              <w:pStyle w:val="TableParagraph"/>
              <w:spacing w:line="283" w:lineRule="auto"/>
              <w:ind w:left="498" w:right="273" w:hanging="212"/>
              <w:rPr>
                <w:sz w:val="18"/>
              </w:rPr>
            </w:pPr>
          </w:p>
          <w:p w14:paraId="41BA8EC5" w14:textId="77777777" w:rsidR="00B13357" w:rsidRDefault="00B13357">
            <w:pPr>
              <w:pStyle w:val="TableParagraph"/>
              <w:spacing w:line="283" w:lineRule="auto"/>
              <w:ind w:left="498" w:right="273" w:hanging="212"/>
              <w:rPr>
                <w:sz w:val="18"/>
              </w:rPr>
            </w:pPr>
          </w:p>
          <w:p w14:paraId="50D9398B" w14:textId="0418AD3C" w:rsidR="00B13357" w:rsidRDefault="00875D06">
            <w:pPr>
              <w:pStyle w:val="P68B1DB1-TableParagraph7"/>
              <w:spacing w:line="283" w:lineRule="auto"/>
              <w:ind w:left="498" w:right="273" w:hanging="212"/>
              <w:rPr>
                <w:sz w:val="29"/>
              </w:rPr>
            </w:pPr>
            <w:r>
              <w:t>D. SERVICE TO SOCIETY</w:t>
            </w:r>
          </w:p>
        </w:tc>
        <w:tc>
          <w:tcPr>
            <w:tcW w:w="3970" w:type="dxa"/>
            <w:tcBorders>
              <w:bottom w:val="single" w:sz="4" w:space="0" w:color="5B9BD4"/>
            </w:tcBorders>
            <w:shd w:val="clear" w:color="auto" w:fill="DEEAF6"/>
          </w:tcPr>
          <w:p w14:paraId="6DE77BFB" w14:textId="77777777" w:rsidR="00B13357" w:rsidRDefault="00875D06">
            <w:pPr>
              <w:pStyle w:val="P68B1DB1-TableParagraph7"/>
              <w:spacing w:before="31" w:line="276" w:lineRule="auto"/>
              <w:ind w:right="132"/>
            </w:pPr>
            <w:r>
              <w:t>D.1. Management of Service to Society Processes and the Service to Society Resources</w:t>
            </w:r>
          </w:p>
          <w:p w14:paraId="38815E51" w14:textId="648C2B6A" w:rsidR="00B13357" w:rsidRDefault="00875D06">
            <w:pPr>
              <w:pStyle w:val="P68B1DB1-TableParagraph7"/>
              <w:tabs>
                <w:tab w:val="left" w:pos="446"/>
              </w:tabs>
              <w:spacing w:before="34" w:line="276" w:lineRule="auto"/>
              <w:ind w:right="663"/>
            </w:pPr>
            <w:r>
              <w:t>D.2</w:t>
            </w:r>
            <w:r>
              <w:rPr>
                <w:spacing w:val="-4"/>
              </w:rPr>
              <w:t xml:space="preserve"> </w:t>
            </w:r>
            <w:r>
              <w:t>Service to Society Performance</w:t>
            </w:r>
          </w:p>
        </w:tc>
        <w:tc>
          <w:tcPr>
            <w:tcW w:w="4820" w:type="dxa"/>
            <w:tcBorders>
              <w:bottom w:val="single" w:sz="4" w:space="0" w:color="5B9BD4"/>
              <w:right w:val="single" w:sz="4" w:space="0" w:color="5B9BD4"/>
            </w:tcBorders>
            <w:shd w:val="clear" w:color="auto" w:fill="DEEAF6"/>
          </w:tcPr>
          <w:p w14:paraId="560C1494" w14:textId="77777777" w:rsidR="00B13357" w:rsidRDefault="00B13357">
            <w:pPr>
              <w:pStyle w:val="TableParagraph"/>
              <w:ind w:left="0"/>
              <w:rPr>
                <w:rFonts w:ascii="Times New Roman"/>
                <w:sz w:val="18"/>
              </w:rPr>
            </w:pPr>
          </w:p>
        </w:tc>
      </w:tr>
    </w:tbl>
    <w:p w14:paraId="32176D63" w14:textId="610064C9" w:rsidR="00B13357" w:rsidRDefault="00B13357"/>
    <w:p w14:paraId="672751CD" w14:textId="77777777" w:rsidR="00B13357" w:rsidRDefault="00875D06">
      <w:r>
        <w:br w:type="page"/>
      </w:r>
    </w:p>
    <w:p w14:paraId="4F6496F7" w14:textId="51AAECA9" w:rsidR="00B13357" w:rsidRDefault="00DD5160">
      <w:pPr>
        <w:pStyle w:val="P68B1DB1-Normal8"/>
      </w:pPr>
      <w:r>
        <w:rPr>
          <w:noProof/>
        </w:rPr>
        <w:lastRenderedPageBreak/>
        <w:drawing>
          <wp:anchor distT="0" distB="0" distL="114300" distR="114300" simplePos="0" relativeHeight="251663360" behindDoc="0" locked="0" layoutInCell="1" allowOverlap="1" wp14:anchorId="2545DE26" wp14:editId="348BABE9">
            <wp:simplePos x="0" y="0"/>
            <wp:positionH relativeFrom="margin">
              <wp:posOffset>-454660</wp:posOffset>
            </wp:positionH>
            <wp:positionV relativeFrom="margin">
              <wp:posOffset>-869315</wp:posOffset>
            </wp:positionV>
            <wp:extent cx="7551420" cy="10686415"/>
            <wp:effectExtent l="0" t="0" r="0" b="63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kgraund-kidr.png"/>
                    <pic:cNvPicPr/>
                  </pic:nvPicPr>
                  <pic:blipFill>
                    <a:blip r:embed="rId7">
                      <a:extLst>
                        <a:ext uri="{28A0092B-C50C-407E-A947-70E740481C1C}">
                          <a14:useLocalDpi xmlns:a14="http://schemas.microsoft.com/office/drawing/2010/main" val="0"/>
                        </a:ext>
                      </a:extLst>
                    </a:blip>
                    <a:stretch>
                      <a:fillRect/>
                    </a:stretch>
                  </pic:blipFill>
                  <pic:spPr>
                    <a:xfrm>
                      <a:off x="0" y="0"/>
                      <a:ext cx="7551420" cy="10686415"/>
                    </a:xfrm>
                    <a:prstGeom prst="rect">
                      <a:avLst/>
                    </a:prstGeom>
                  </pic:spPr>
                </pic:pic>
              </a:graphicData>
            </a:graphic>
            <wp14:sizeRelH relativeFrom="margin">
              <wp14:pctWidth>0</wp14:pctWidth>
            </wp14:sizeRelH>
            <wp14:sizeRelV relativeFrom="margin">
              <wp14:pctHeight>0</wp14:pctHeight>
            </wp14:sizeRelV>
          </wp:anchor>
        </w:drawing>
      </w:r>
    </w:p>
    <w:sectPr w:rsidR="00B13357">
      <w:pgSz w:w="11910" w:h="16840"/>
      <w:pgMar w:top="1320" w:right="7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erW04-Regular">
    <w:altName w:val="Courier New"/>
    <w:charset w:val="A2"/>
    <w:family w:val="auto"/>
    <w:pitch w:val="variable"/>
    <w:sig w:usb0="0000000F"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6692"/>
    <w:multiLevelType w:val="hybridMultilevel"/>
    <w:tmpl w:val="E2C42066"/>
    <w:lvl w:ilvl="0" w:tplc="14FC4D6E">
      <w:start w:val="1"/>
      <w:numFmt w:val="upperLetter"/>
      <w:lvlText w:val="%1."/>
      <w:lvlJc w:val="left"/>
      <w:pPr>
        <w:ind w:left="669" w:hanging="360"/>
      </w:pPr>
      <w:rPr>
        <w:rFonts w:hint="default"/>
      </w:rPr>
    </w:lvl>
    <w:lvl w:ilvl="1" w:tplc="041F0019" w:tentative="1">
      <w:start w:val="1"/>
      <w:numFmt w:val="lowerLetter"/>
      <w:lvlText w:val="%2."/>
      <w:lvlJc w:val="left"/>
      <w:pPr>
        <w:ind w:left="1389" w:hanging="360"/>
      </w:pPr>
    </w:lvl>
    <w:lvl w:ilvl="2" w:tplc="041F001B" w:tentative="1">
      <w:start w:val="1"/>
      <w:numFmt w:val="lowerRoman"/>
      <w:lvlText w:val="%3."/>
      <w:lvlJc w:val="right"/>
      <w:pPr>
        <w:ind w:left="2109" w:hanging="180"/>
      </w:pPr>
    </w:lvl>
    <w:lvl w:ilvl="3" w:tplc="041F000F" w:tentative="1">
      <w:start w:val="1"/>
      <w:numFmt w:val="decimal"/>
      <w:lvlText w:val="%4."/>
      <w:lvlJc w:val="left"/>
      <w:pPr>
        <w:ind w:left="2829" w:hanging="360"/>
      </w:pPr>
    </w:lvl>
    <w:lvl w:ilvl="4" w:tplc="041F0019" w:tentative="1">
      <w:start w:val="1"/>
      <w:numFmt w:val="lowerLetter"/>
      <w:lvlText w:val="%5."/>
      <w:lvlJc w:val="left"/>
      <w:pPr>
        <w:ind w:left="3549" w:hanging="360"/>
      </w:pPr>
    </w:lvl>
    <w:lvl w:ilvl="5" w:tplc="041F001B" w:tentative="1">
      <w:start w:val="1"/>
      <w:numFmt w:val="lowerRoman"/>
      <w:lvlText w:val="%6."/>
      <w:lvlJc w:val="right"/>
      <w:pPr>
        <w:ind w:left="4269" w:hanging="180"/>
      </w:pPr>
    </w:lvl>
    <w:lvl w:ilvl="6" w:tplc="041F000F" w:tentative="1">
      <w:start w:val="1"/>
      <w:numFmt w:val="decimal"/>
      <w:lvlText w:val="%7."/>
      <w:lvlJc w:val="left"/>
      <w:pPr>
        <w:ind w:left="4989" w:hanging="360"/>
      </w:pPr>
    </w:lvl>
    <w:lvl w:ilvl="7" w:tplc="041F0019" w:tentative="1">
      <w:start w:val="1"/>
      <w:numFmt w:val="lowerLetter"/>
      <w:lvlText w:val="%8."/>
      <w:lvlJc w:val="left"/>
      <w:pPr>
        <w:ind w:left="5709" w:hanging="360"/>
      </w:pPr>
    </w:lvl>
    <w:lvl w:ilvl="8" w:tplc="041F001B" w:tentative="1">
      <w:start w:val="1"/>
      <w:numFmt w:val="lowerRoman"/>
      <w:lvlText w:val="%9."/>
      <w:lvlJc w:val="right"/>
      <w:pPr>
        <w:ind w:left="6429" w:hanging="180"/>
      </w:pPr>
    </w:lvl>
  </w:abstractNum>
  <w:abstractNum w:abstractNumId="1" w15:restartNumberingAfterBreak="0">
    <w:nsid w:val="3E895F24"/>
    <w:multiLevelType w:val="multilevel"/>
    <w:tmpl w:val="7884EA90"/>
    <w:lvl w:ilvl="0">
      <w:start w:val="1"/>
      <w:numFmt w:val="decimal"/>
      <w:lvlText w:val="%1"/>
      <w:lvlJc w:val="left"/>
      <w:pPr>
        <w:ind w:left="440" w:hanging="336"/>
        <w:jc w:val="left"/>
      </w:pPr>
      <w:rPr>
        <w:rFonts w:hint="default"/>
        <w:lang w:val="tr-TR" w:eastAsia="en-US" w:bidi="ar-SA"/>
      </w:rPr>
    </w:lvl>
    <w:lvl w:ilvl="1">
      <w:start w:val="2"/>
      <w:numFmt w:val="decimal"/>
      <w:lvlText w:val="%1.%2."/>
      <w:lvlJc w:val="left"/>
      <w:pPr>
        <w:ind w:left="440" w:hanging="336"/>
        <w:jc w:val="left"/>
      </w:pPr>
      <w:rPr>
        <w:rFonts w:ascii="CamberW04-Regular" w:eastAsia="CamberW04-Regular" w:hAnsi="CamberW04-Regular" w:cs="CamberW04-Regular" w:hint="default"/>
        <w:b w:val="0"/>
        <w:bCs w:val="0"/>
        <w:i w:val="0"/>
        <w:iCs w:val="0"/>
        <w:spacing w:val="-2"/>
        <w:w w:val="100"/>
        <w:sz w:val="18"/>
        <w:szCs w:val="18"/>
        <w:lang w:val="tr-TR" w:eastAsia="en-US" w:bidi="ar-SA"/>
      </w:rPr>
    </w:lvl>
    <w:lvl w:ilvl="2">
      <w:numFmt w:val="bullet"/>
      <w:lvlText w:val="•"/>
      <w:lvlJc w:val="left"/>
      <w:pPr>
        <w:ind w:left="1313" w:hanging="336"/>
      </w:pPr>
      <w:rPr>
        <w:rFonts w:hint="default"/>
        <w:lang w:val="tr-TR" w:eastAsia="en-US" w:bidi="ar-SA"/>
      </w:rPr>
    </w:lvl>
    <w:lvl w:ilvl="3">
      <w:numFmt w:val="bullet"/>
      <w:lvlText w:val="•"/>
      <w:lvlJc w:val="left"/>
      <w:pPr>
        <w:ind w:left="1749" w:hanging="336"/>
      </w:pPr>
      <w:rPr>
        <w:rFonts w:hint="default"/>
        <w:lang w:val="tr-TR" w:eastAsia="en-US" w:bidi="ar-SA"/>
      </w:rPr>
    </w:lvl>
    <w:lvl w:ilvl="4">
      <w:numFmt w:val="bullet"/>
      <w:lvlText w:val="•"/>
      <w:lvlJc w:val="left"/>
      <w:pPr>
        <w:ind w:left="2186" w:hanging="336"/>
      </w:pPr>
      <w:rPr>
        <w:rFonts w:hint="default"/>
        <w:lang w:val="tr-TR" w:eastAsia="en-US" w:bidi="ar-SA"/>
      </w:rPr>
    </w:lvl>
    <w:lvl w:ilvl="5">
      <w:numFmt w:val="bullet"/>
      <w:lvlText w:val="•"/>
      <w:lvlJc w:val="left"/>
      <w:pPr>
        <w:ind w:left="2622" w:hanging="336"/>
      </w:pPr>
      <w:rPr>
        <w:rFonts w:hint="default"/>
        <w:lang w:val="tr-TR" w:eastAsia="en-US" w:bidi="ar-SA"/>
      </w:rPr>
    </w:lvl>
    <w:lvl w:ilvl="6">
      <w:numFmt w:val="bullet"/>
      <w:lvlText w:val="•"/>
      <w:lvlJc w:val="left"/>
      <w:pPr>
        <w:ind w:left="3059" w:hanging="336"/>
      </w:pPr>
      <w:rPr>
        <w:rFonts w:hint="default"/>
        <w:lang w:val="tr-TR" w:eastAsia="en-US" w:bidi="ar-SA"/>
      </w:rPr>
    </w:lvl>
    <w:lvl w:ilvl="7">
      <w:numFmt w:val="bullet"/>
      <w:lvlText w:val="•"/>
      <w:lvlJc w:val="left"/>
      <w:pPr>
        <w:ind w:left="3495" w:hanging="336"/>
      </w:pPr>
      <w:rPr>
        <w:rFonts w:hint="default"/>
        <w:lang w:val="tr-TR" w:eastAsia="en-US" w:bidi="ar-SA"/>
      </w:rPr>
    </w:lvl>
    <w:lvl w:ilvl="8">
      <w:numFmt w:val="bullet"/>
      <w:lvlText w:val="•"/>
      <w:lvlJc w:val="left"/>
      <w:pPr>
        <w:ind w:left="3932" w:hanging="336"/>
      </w:pPr>
      <w:rPr>
        <w:rFonts w:hint="default"/>
        <w:lang w:val="tr-TR" w:eastAsia="en-US" w:bidi="ar-SA"/>
      </w:rPr>
    </w:lvl>
  </w:abstractNum>
  <w:abstractNum w:abstractNumId="2" w15:restartNumberingAfterBreak="0">
    <w:nsid w:val="42B96E18"/>
    <w:multiLevelType w:val="multilevel"/>
    <w:tmpl w:val="D6B8EAAC"/>
    <w:lvl w:ilvl="0">
      <w:start w:val="1"/>
      <w:numFmt w:val="decimal"/>
      <w:lvlText w:val="%1"/>
      <w:lvlJc w:val="left"/>
      <w:pPr>
        <w:ind w:left="430" w:hanging="327"/>
        <w:jc w:val="left"/>
      </w:pPr>
      <w:rPr>
        <w:rFonts w:hint="default"/>
        <w:lang w:val="tr-TR" w:eastAsia="en-US" w:bidi="ar-SA"/>
      </w:rPr>
    </w:lvl>
    <w:lvl w:ilvl="1">
      <w:start w:val="7"/>
      <w:numFmt w:val="decimal"/>
      <w:lvlText w:val="%1.%2."/>
      <w:lvlJc w:val="left"/>
      <w:pPr>
        <w:ind w:left="430" w:hanging="327"/>
        <w:jc w:val="left"/>
      </w:pPr>
      <w:rPr>
        <w:rFonts w:ascii="CamberW04-Regular" w:eastAsia="CamberW04-Regular" w:hAnsi="CamberW04-Regular" w:cs="CamberW04-Regular" w:hint="default"/>
        <w:b w:val="0"/>
        <w:bCs w:val="0"/>
        <w:i w:val="0"/>
        <w:iCs w:val="0"/>
        <w:spacing w:val="-2"/>
        <w:w w:val="100"/>
        <w:sz w:val="18"/>
        <w:szCs w:val="18"/>
        <w:lang w:val="tr-TR" w:eastAsia="en-US" w:bidi="ar-SA"/>
      </w:rPr>
    </w:lvl>
    <w:lvl w:ilvl="2">
      <w:numFmt w:val="bullet"/>
      <w:lvlText w:val="•"/>
      <w:lvlJc w:val="left"/>
      <w:pPr>
        <w:ind w:left="1313" w:hanging="327"/>
      </w:pPr>
      <w:rPr>
        <w:rFonts w:hint="default"/>
        <w:lang w:val="tr-TR" w:eastAsia="en-US" w:bidi="ar-SA"/>
      </w:rPr>
    </w:lvl>
    <w:lvl w:ilvl="3">
      <w:numFmt w:val="bullet"/>
      <w:lvlText w:val="•"/>
      <w:lvlJc w:val="left"/>
      <w:pPr>
        <w:ind w:left="1749" w:hanging="327"/>
      </w:pPr>
      <w:rPr>
        <w:rFonts w:hint="default"/>
        <w:lang w:val="tr-TR" w:eastAsia="en-US" w:bidi="ar-SA"/>
      </w:rPr>
    </w:lvl>
    <w:lvl w:ilvl="4">
      <w:numFmt w:val="bullet"/>
      <w:lvlText w:val="•"/>
      <w:lvlJc w:val="left"/>
      <w:pPr>
        <w:ind w:left="2186" w:hanging="327"/>
      </w:pPr>
      <w:rPr>
        <w:rFonts w:hint="default"/>
        <w:lang w:val="tr-TR" w:eastAsia="en-US" w:bidi="ar-SA"/>
      </w:rPr>
    </w:lvl>
    <w:lvl w:ilvl="5">
      <w:numFmt w:val="bullet"/>
      <w:lvlText w:val="•"/>
      <w:lvlJc w:val="left"/>
      <w:pPr>
        <w:ind w:left="2622" w:hanging="327"/>
      </w:pPr>
      <w:rPr>
        <w:rFonts w:hint="default"/>
        <w:lang w:val="tr-TR" w:eastAsia="en-US" w:bidi="ar-SA"/>
      </w:rPr>
    </w:lvl>
    <w:lvl w:ilvl="6">
      <w:numFmt w:val="bullet"/>
      <w:lvlText w:val="•"/>
      <w:lvlJc w:val="left"/>
      <w:pPr>
        <w:ind w:left="3059" w:hanging="327"/>
      </w:pPr>
      <w:rPr>
        <w:rFonts w:hint="default"/>
        <w:lang w:val="tr-TR" w:eastAsia="en-US" w:bidi="ar-SA"/>
      </w:rPr>
    </w:lvl>
    <w:lvl w:ilvl="7">
      <w:numFmt w:val="bullet"/>
      <w:lvlText w:val="•"/>
      <w:lvlJc w:val="left"/>
      <w:pPr>
        <w:ind w:left="3495" w:hanging="327"/>
      </w:pPr>
      <w:rPr>
        <w:rFonts w:hint="default"/>
        <w:lang w:val="tr-TR" w:eastAsia="en-US" w:bidi="ar-SA"/>
      </w:rPr>
    </w:lvl>
    <w:lvl w:ilvl="8">
      <w:numFmt w:val="bullet"/>
      <w:lvlText w:val="•"/>
      <w:lvlJc w:val="left"/>
      <w:pPr>
        <w:ind w:left="3932" w:hanging="327"/>
      </w:pPr>
      <w:rPr>
        <w:rFonts w:hint="default"/>
        <w:lang w:val="tr-TR" w:eastAsia="en-US" w:bidi="ar-SA"/>
      </w:rPr>
    </w:lvl>
  </w:abstractNum>
  <w:abstractNum w:abstractNumId="3" w15:restartNumberingAfterBreak="0">
    <w:nsid w:val="482048C1"/>
    <w:multiLevelType w:val="multilevel"/>
    <w:tmpl w:val="B3566B4E"/>
    <w:lvl w:ilvl="0">
      <w:start w:val="1"/>
      <w:numFmt w:val="upperLetter"/>
      <w:lvlText w:val="%1."/>
      <w:lvlJc w:val="left"/>
      <w:pPr>
        <w:ind w:left="937" w:hanging="262"/>
        <w:jc w:val="left"/>
      </w:pPr>
      <w:rPr>
        <w:rFonts w:ascii="CamberW04-Regular" w:eastAsia="CamberW04-Regular" w:hAnsi="CamberW04-Regular" w:cs="CamberW04-Regular" w:hint="default"/>
        <w:b w:val="0"/>
        <w:bCs w:val="0"/>
        <w:i w:val="0"/>
        <w:iCs w:val="0"/>
        <w:w w:val="100"/>
        <w:sz w:val="24"/>
        <w:szCs w:val="24"/>
        <w:u w:val="single" w:color="000000"/>
        <w:lang w:val="tr-TR" w:eastAsia="en-US" w:bidi="ar-SA"/>
      </w:rPr>
    </w:lvl>
    <w:lvl w:ilvl="1">
      <w:start w:val="1"/>
      <w:numFmt w:val="decimal"/>
      <w:lvlText w:val="%1.%2"/>
      <w:lvlJc w:val="left"/>
      <w:pPr>
        <w:ind w:left="1072" w:hanging="396"/>
        <w:jc w:val="left"/>
      </w:pPr>
      <w:rPr>
        <w:rFonts w:ascii="CamberW04-Regular" w:eastAsia="CamberW04-Regular" w:hAnsi="CamberW04-Regular" w:cs="CamberW04-Regular" w:hint="default"/>
        <w:b w:val="0"/>
        <w:bCs w:val="0"/>
        <w:i w:val="0"/>
        <w:iCs w:val="0"/>
        <w:spacing w:val="-1"/>
        <w:w w:val="100"/>
        <w:sz w:val="24"/>
        <w:szCs w:val="24"/>
        <w:lang w:val="tr-TR" w:eastAsia="en-US" w:bidi="ar-SA"/>
      </w:rPr>
    </w:lvl>
    <w:lvl w:ilvl="2">
      <w:numFmt w:val="bullet"/>
      <w:lvlText w:val="•"/>
      <w:lvlJc w:val="left"/>
      <w:pPr>
        <w:ind w:left="2118" w:hanging="396"/>
      </w:pPr>
      <w:rPr>
        <w:rFonts w:hint="default"/>
        <w:lang w:val="tr-TR" w:eastAsia="en-US" w:bidi="ar-SA"/>
      </w:rPr>
    </w:lvl>
    <w:lvl w:ilvl="3">
      <w:numFmt w:val="bullet"/>
      <w:lvlText w:val="•"/>
      <w:lvlJc w:val="left"/>
      <w:pPr>
        <w:ind w:left="3156" w:hanging="396"/>
      </w:pPr>
      <w:rPr>
        <w:rFonts w:hint="default"/>
        <w:lang w:val="tr-TR" w:eastAsia="en-US" w:bidi="ar-SA"/>
      </w:rPr>
    </w:lvl>
    <w:lvl w:ilvl="4">
      <w:numFmt w:val="bullet"/>
      <w:lvlText w:val="•"/>
      <w:lvlJc w:val="left"/>
      <w:pPr>
        <w:ind w:left="4195" w:hanging="396"/>
      </w:pPr>
      <w:rPr>
        <w:rFonts w:hint="default"/>
        <w:lang w:val="tr-TR" w:eastAsia="en-US" w:bidi="ar-SA"/>
      </w:rPr>
    </w:lvl>
    <w:lvl w:ilvl="5">
      <w:numFmt w:val="bullet"/>
      <w:lvlText w:val="•"/>
      <w:lvlJc w:val="left"/>
      <w:pPr>
        <w:ind w:left="5233" w:hanging="396"/>
      </w:pPr>
      <w:rPr>
        <w:rFonts w:hint="default"/>
        <w:lang w:val="tr-TR" w:eastAsia="en-US" w:bidi="ar-SA"/>
      </w:rPr>
    </w:lvl>
    <w:lvl w:ilvl="6">
      <w:numFmt w:val="bullet"/>
      <w:lvlText w:val="•"/>
      <w:lvlJc w:val="left"/>
      <w:pPr>
        <w:ind w:left="6272" w:hanging="396"/>
      </w:pPr>
      <w:rPr>
        <w:rFonts w:hint="default"/>
        <w:lang w:val="tr-TR" w:eastAsia="en-US" w:bidi="ar-SA"/>
      </w:rPr>
    </w:lvl>
    <w:lvl w:ilvl="7">
      <w:numFmt w:val="bullet"/>
      <w:lvlText w:val="•"/>
      <w:lvlJc w:val="left"/>
      <w:pPr>
        <w:ind w:left="7310" w:hanging="396"/>
      </w:pPr>
      <w:rPr>
        <w:rFonts w:hint="default"/>
        <w:lang w:val="tr-TR" w:eastAsia="en-US" w:bidi="ar-SA"/>
      </w:rPr>
    </w:lvl>
    <w:lvl w:ilvl="8">
      <w:numFmt w:val="bullet"/>
      <w:lvlText w:val="•"/>
      <w:lvlJc w:val="left"/>
      <w:pPr>
        <w:ind w:left="8349" w:hanging="396"/>
      </w:pPr>
      <w:rPr>
        <w:rFonts w:hint="default"/>
        <w:lang w:val="tr-TR" w:eastAsia="en-US" w:bidi="ar-SA"/>
      </w:rPr>
    </w:lvl>
  </w:abstractNum>
  <w:abstractNum w:abstractNumId="4" w15:restartNumberingAfterBreak="0">
    <w:nsid w:val="510D20EA"/>
    <w:multiLevelType w:val="multilevel"/>
    <w:tmpl w:val="C8D074FE"/>
    <w:lvl w:ilvl="0">
      <w:start w:val="3"/>
      <w:numFmt w:val="upperLetter"/>
      <w:lvlText w:val="%1"/>
      <w:lvlJc w:val="left"/>
      <w:pPr>
        <w:ind w:left="104" w:hanging="341"/>
        <w:jc w:val="left"/>
      </w:pPr>
      <w:rPr>
        <w:rFonts w:hint="default"/>
        <w:lang w:val="tr-TR" w:eastAsia="en-US" w:bidi="ar-SA"/>
      </w:rPr>
    </w:lvl>
    <w:lvl w:ilvl="1">
      <w:start w:val="1"/>
      <w:numFmt w:val="decimal"/>
      <w:lvlText w:val="%1.%2."/>
      <w:lvlJc w:val="left"/>
      <w:pPr>
        <w:ind w:left="104" w:hanging="341"/>
        <w:jc w:val="left"/>
      </w:pPr>
      <w:rPr>
        <w:rFonts w:ascii="CamberW04-Regular" w:eastAsia="CamberW04-Regular" w:hAnsi="CamberW04-Regular" w:cs="CamberW04-Regular" w:hint="default"/>
        <w:b w:val="0"/>
        <w:bCs w:val="0"/>
        <w:i w:val="0"/>
        <w:iCs w:val="0"/>
        <w:spacing w:val="-2"/>
        <w:w w:val="100"/>
        <w:sz w:val="18"/>
        <w:szCs w:val="18"/>
        <w:lang w:val="tr-TR" w:eastAsia="en-US" w:bidi="ar-SA"/>
      </w:rPr>
    </w:lvl>
    <w:lvl w:ilvl="2">
      <w:numFmt w:val="bullet"/>
      <w:lvlText w:val="•"/>
      <w:lvlJc w:val="left"/>
      <w:pPr>
        <w:ind w:left="871" w:hanging="341"/>
      </w:pPr>
      <w:rPr>
        <w:rFonts w:hint="default"/>
        <w:lang w:val="tr-TR" w:eastAsia="en-US" w:bidi="ar-SA"/>
      </w:rPr>
    </w:lvl>
    <w:lvl w:ilvl="3">
      <w:numFmt w:val="bullet"/>
      <w:lvlText w:val="•"/>
      <w:lvlJc w:val="left"/>
      <w:pPr>
        <w:ind w:left="1256" w:hanging="341"/>
      </w:pPr>
      <w:rPr>
        <w:rFonts w:hint="default"/>
        <w:lang w:val="tr-TR" w:eastAsia="en-US" w:bidi="ar-SA"/>
      </w:rPr>
    </w:lvl>
    <w:lvl w:ilvl="4">
      <w:numFmt w:val="bullet"/>
      <w:lvlText w:val="•"/>
      <w:lvlJc w:val="left"/>
      <w:pPr>
        <w:ind w:left="1642" w:hanging="341"/>
      </w:pPr>
      <w:rPr>
        <w:rFonts w:hint="default"/>
        <w:lang w:val="tr-TR" w:eastAsia="en-US" w:bidi="ar-SA"/>
      </w:rPr>
    </w:lvl>
    <w:lvl w:ilvl="5">
      <w:numFmt w:val="bullet"/>
      <w:lvlText w:val="•"/>
      <w:lvlJc w:val="left"/>
      <w:pPr>
        <w:ind w:left="2027" w:hanging="341"/>
      </w:pPr>
      <w:rPr>
        <w:rFonts w:hint="default"/>
        <w:lang w:val="tr-TR" w:eastAsia="en-US" w:bidi="ar-SA"/>
      </w:rPr>
    </w:lvl>
    <w:lvl w:ilvl="6">
      <w:numFmt w:val="bullet"/>
      <w:lvlText w:val="•"/>
      <w:lvlJc w:val="left"/>
      <w:pPr>
        <w:ind w:left="2413" w:hanging="341"/>
      </w:pPr>
      <w:rPr>
        <w:rFonts w:hint="default"/>
        <w:lang w:val="tr-TR" w:eastAsia="en-US" w:bidi="ar-SA"/>
      </w:rPr>
    </w:lvl>
    <w:lvl w:ilvl="7">
      <w:numFmt w:val="bullet"/>
      <w:lvlText w:val="•"/>
      <w:lvlJc w:val="left"/>
      <w:pPr>
        <w:ind w:left="2798" w:hanging="341"/>
      </w:pPr>
      <w:rPr>
        <w:rFonts w:hint="default"/>
        <w:lang w:val="tr-TR" w:eastAsia="en-US" w:bidi="ar-SA"/>
      </w:rPr>
    </w:lvl>
    <w:lvl w:ilvl="8">
      <w:numFmt w:val="bullet"/>
      <w:lvlText w:val="•"/>
      <w:lvlJc w:val="left"/>
      <w:pPr>
        <w:ind w:left="3184" w:hanging="341"/>
      </w:pPr>
      <w:rPr>
        <w:rFonts w:hint="default"/>
        <w:lang w:val="tr-TR" w:eastAsia="en-US" w:bidi="ar-SA"/>
      </w:rPr>
    </w:lvl>
  </w:abstractNum>
  <w:abstractNum w:abstractNumId="5" w15:restartNumberingAfterBreak="0">
    <w:nsid w:val="6EF04752"/>
    <w:multiLevelType w:val="multilevel"/>
    <w:tmpl w:val="C9648EA2"/>
    <w:lvl w:ilvl="0">
      <w:start w:val="2"/>
      <w:numFmt w:val="upperLetter"/>
      <w:lvlText w:val="%1"/>
      <w:lvlJc w:val="left"/>
      <w:pPr>
        <w:ind w:left="104" w:hanging="348"/>
        <w:jc w:val="left"/>
      </w:pPr>
      <w:rPr>
        <w:rFonts w:hint="default"/>
        <w:lang w:val="tr-TR" w:eastAsia="en-US" w:bidi="ar-SA"/>
      </w:rPr>
    </w:lvl>
    <w:lvl w:ilvl="1">
      <w:start w:val="1"/>
      <w:numFmt w:val="decimal"/>
      <w:lvlText w:val="%1.%2."/>
      <w:lvlJc w:val="left"/>
      <w:pPr>
        <w:ind w:left="104" w:hanging="348"/>
        <w:jc w:val="left"/>
      </w:pPr>
      <w:rPr>
        <w:rFonts w:ascii="CamberW04-Regular" w:eastAsia="CamberW04-Regular" w:hAnsi="CamberW04-Regular" w:cs="CamberW04-Regular" w:hint="default"/>
        <w:b w:val="0"/>
        <w:bCs w:val="0"/>
        <w:i w:val="0"/>
        <w:iCs w:val="0"/>
        <w:spacing w:val="-2"/>
        <w:w w:val="100"/>
        <w:sz w:val="18"/>
        <w:szCs w:val="18"/>
        <w:lang w:val="tr-TR" w:eastAsia="en-US" w:bidi="ar-SA"/>
      </w:rPr>
    </w:lvl>
    <w:lvl w:ilvl="2">
      <w:numFmt w:val="bullet"/>
      <w:lvlText w:val="•"/>
      <w:lvlJc w:val="left"/>
      <w:pPr>
        <w:ind w:left="871" w:hanging="348"/>
      </w:pPr>
      <w:rPr>
        <w:rFonts w:hint="default"/>
        <w:lang w:val="tr-TR" w:eastAsia="en-US" w:bidi="ar-SA"/>
      </w:rPr>
    </w:lvl>
    <w:lvl w:ilvl="3">
      <w:numFmt w:val="bullet"/>
      <w:lvlText w:val="•"/>
      <w:lvlJc w:val="left"/>
      <w:pPr>
        <w:ind w:left="1256" w:hanging="348"/>
      </w:pPr>
      <w:rPr>
        <w:rFonts w:hint="default"/>
        <w:lang w:val="tr-TR" w:eastAsia="en-US" w:bidi="ar-SA"/>
      </w:rPr>
    </w:lvl>
    <w:lvl w:ilvl="4">
      <w:numFmt w:val="bullet"/>
      <w:lvlText w:val="•"/>
      <w:lvlJc w:val="left"/>
      <w:pPr>
        <w:ind w:left="1642" w:hanging="348"/>
      </w:pPr>
      <w:rPr>
        <w:rFonts w:hint="default"/>
        <w:lang w:val="tr-TR" w:eastAsia="en-US" w:bidi="ar-SA"/>
      </w:rPr>
    </w:lvl>
    <w:lvl w:ilvl="5">
      <w:numFmt w:val="bullet"/>
      <w:lvlText w:val="•"/>
      <w:lvlJc w:val="left"/>
      <w:pPr>
        <w:ind w:left="2027" w:hanging="348"/>
      </w:pPr>
      <w:rPr>
        <w:rFonts w:hint="default"/>
        <w:lang w:val="tr-TR" w:eastAsia="en-US" w:bidi="ar-SA"/>
      </w:rPr>
    </w:lvl>
    <w:lvl w:ilvl="6">
      <w:numFmt w:val="bullet"/>
      <w:lvlText w:val="•"/>
      <w:lvlJc w:val="left"/>
      <w:pPr>
        <w:ind w:left="2413" w:hanging="348"/>
      </w:pPr>
      <w:rPr>
        <w:rFonts w:hint="default"/>
        <w:lang w:val="tr-TR" w:eastAsia="en-US" w:bidi="ar-SA"/>
      </w:rPr>
    </w:lvl>
    <w:lvl w:ilvl="7">
      <w:numFmt w:val="bullet"/>
      <w:lvlText w:val="•"/>
      <w:lvlJc w:val="left"/>
      <w:pPr>
        <w:ind w:left="2798" w:hanging="348"/>
      </w:pPr>
      <w:rPr>
        <w:rFonts w:hint="default"/>
        <w:lang w:val="tr-TR" w:eastAsia="en-US" w:bidi="ar-SA"/>
      </w:rPr>
    </w:lvl>
    <w:lvl w:ilvl="8">
      <w:numFmt w:val="bullet"/>
      <w:lvlText w:val="•"/>
      <w:lvlJc w:val="left"/>
      <w:pPr>
        <w:ind w:left="3184" w:hanging="348"/>
      </w:pPr>
      <w:rPr>
        <w:rFonts w:hint="default"/>
        <w:lang w:val="tr-TR" w:eastAsia="en-US" w:bidi="ar-SA"/>
      </w:rPr>
    </w:lvl>
  </w:abstractNum>
  <w:abstractNum w:abstractNumId="6" w15:restartNumberingAfterBreak="0">
    <w:nsid w:val="72E87250"/>
    <w:multiLevelType w:val="multilevel"/>
    <w:tmpl w:val="7E423C38"/>
    <w:lvl w:ilvl="0">
      <w:start w:val="1"/>
      <w:numFmt w:val="upperLetter"/>
      <w:lvlText w:val="%1"/>
      <w:lvlJc w:val="left"/>
      <w:pPr>
        <w:ind w:left="445" w:hanging="341"/>
        <w:jc w:val="left"/>
      </w:pPr>
      <w:rPr>
        <w:rFonts w:hint="default"/>
        <w:lang w:val="tr-TR" w:eastAsia="en-US" w:bidi="ar-SA"/>
      </w:rPr>
    </w:lvl>
    <w:lvl w:ilvl="1">
      <w:start w:val="1"/>
      <w:numFmt w:val="decimal"/>
      <w:lvlText w:val="%1.%2."/>
      <w:lvlJc w:val="left"/>
      <w:pPr>
        <w:ind w:left="445" w:hanging="341"/>
        <w:jc w:val="left"/>
      </w:pPr>
      <w:rPr>
        <w:rFonts w:ascii="CamberW04-Regular" w:eastAsia="CamberW04-Regular" w:hAnsi="CamberW04-Regular" w:cs="CamberW04-Regular" w:hint="default"/>
        <w:b w:val="0"/>
        <w:bCs w:val="0"/>
        <w:i w:val="0"/>
        <w:iCs w:val="0"/>
        <w:spacing w:val="-2"/>
        <w:w w:val="100"/>
        <w:sz w:val="18"/>
        <w:szCs w:val="18"/>
        <w:lang w:val="tr-TR" w:eastAsia="en-US" w:bidi="ar-SA"/>
      </w:rPr>
    </w:lvl>
    <w:lvl w:ilvl="2">
      <w:numFmt w:val="bullet"/>
      <w:lvlText w:val="•"/>
      <w:lvlJc w:val="left"/>
      <w:pPr>
        <w:ind w:left="1143" w:hanging="341"/>
      </w:pPr>
      <w:rPr>
        <w:rFonts w:hint="default"/>
        <w:lang w:val="tr-TR" w:eastAsia="en-US" w:bidi="ar-SA"/>
      </w:rPr>
    </w:lvl>
    <w:lvl w:ilvl="3">
      <w:numFmt w:val="bullet"/>
      <w:lvlText w:val="•"/>
      <w:lvlJc w:val="left"/>
      <w:pPr>
        <w:ind w:left="1494" w:hanging="341"/>
      </w:pPr>
      <w:rPr>
        <w:rFonts w:hint="default"/>
        <w:lang w:val="tr-TR" w:eastAsia="en-US" w:bidi="ar-SA"/>
      </w:rPr>
    </w:lvl>
    <w:lvl w:ilvl="4">
      <w:numFmt w:val="bullet"/>
      <w:lvlText w:val="•"/>
      <w:lvlJc w:val="left"/>
      <w:pPr>
        <w:ind w:left="1846" w:hanging="341"/>
      </w:pPr>
      <w:rPr>
        <w:rFonts w:hint="default"/>
        <w:lang w:val="tr-TR" w:eastAsia="en-US" w:bidi="ar-SA"/>
      </w:rPr>
    </w:lvl>
    <w:lvl w:ilvl="5">
      <w:numFmt w:val="bullet"/>
      <w:lvlText w:val="•"/>
      <w:lvlJc w:val="left"/>
      <w:pPr>
        <w:ind w:left="2197" w:hanging="341"/>
      </w:pPr>
      <w:rPr>
        <w:rFonts w:hint="default"/>
        <w:lang w:val="tr-TR" w:eastAsia="en-US" w:bidi="ar-SA"/>
      </w:rPr>
    </w:lvl>
    <w:lvl w:ilvl="6">
      <w:numFmt w:val="bullet"/>
      <w:lvlText w:val="•"/>
      <w:lvlJc w:val="left"/>
      <w:pPr>
        <w:ind w:left="2549" w:hanging="341"/>
      </w:pPr>
      <w:rPr>
        <w:rFonts w:hint="default"/>
        <w:lang w:val="tr-TR" w:eastAsia="en-US" w:bidi="ar-SA"/>
      </w:rPr>
    </w:lvl>
    <w:lvl w:ilvl="7">
      <w:numFmt w:val="bullet"/>
      <w:lvlText w:val="•"/>
      <w:lvlJc w:val="left"/>
      <w:pPr>
        <w:ind w:left="2900" w:hanging="341"/>
      </w:pPr>
      <w:rPr>
        <w:rFonts w:hint="default"/>
        <w:lang w:val="tr-TR" w:eastAsia="en-US" w:bidi="ar-SA"/>
      </w:rPr>
    </w:lvl>
    <w:lvl w:ilvl="8">
      <w:numFmt w:val="bullet"/>
      <w:lvlText w:val="•"/>
      <w:lvlJc w:val="left"/>
      <w:pPr>
        <w:ind w:left="3252" w:hanging="341"/>
      </w:pPr>
      <w:rPr>
        <w:rFonts w:hint="default"/>
        <w:lang w:val="tr-TR" w:eastAsia="en-US" w:bidi="ar-SA"/>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BB"/>
    <w:rsid w:val="000B09A6"/>
    <w:rsid w:val="001066DE"/>
    <w:rsid w:val="001E7939"/>
    <w:rsid w:val="002C35DC"/>
    <w:rsid w:val="0030416B"/>
    <w:rsid w:val="00427AC2"/>
    <w:rsid w:val="00446F69"/>
    <w:rsid w:val="00447D1F"/>
    <w:rsid w:val="005C65BB"/>
    <w:rsid w:val="005F302F"/>
    <w:rsid w:val="00875D06"/>
    <w:rsid w:val="00932537"/>
    <w:rsid w:val="00AF2372"/>
    <w:rsid w:val="00B13357"/>
    <w:rsid w:val="00B3089B"/>
    <w:rsid w:val="00B36E24"/>
    <w:rsid w:val="00B4148C"/>
    <w:rsid w:val="00B56CCB"/>
    <w:rsid w:val="00B851B2"/>
    <w:rsid w:val="00BA70C3"/>
    <w:rsid w:val="00BB0143"/>
    <w:rsid w:val="00BC02FC"/>
    <w:rsid w:val="00C07F70"/>
    <w:rsid w:val="00DA3AE7"/>
    <w:rsid w:val="00DD5160"/>
    <w:rsid w:val="00F225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A9C7"/>
  <w15:docId w15:val="{82A0A9BA-BD43-4F58-99F9-0CF16347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erW04-Regular" w:eastAsia="CamberW04-Regular" w:hAnsi="CamberW04-Regular" w:cs="CamberW04-Regula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76"/>
      <w:jc w:val="both"/>
    </w:pPr>
    <w:rPr>
      <w:sz w:val="24"/>
      <w:szCs w:val="24"/>
    </w:rPr>
  </w:style>
  <w:style w:type="paragraph" w:styleId="KonuBal">
    <w:name w:val="Title"/>
    <w:basedOn w:val="Normal"/>
    <w:uiPriority w:val="10"/>
    <w:qFormat/>
    <w:pPr>
      <w:spacing w:before="79"/>
      <w:ind w:left="1321" w:right="1324"/>
      <w:jc w:val="center"/>
    </w:pPr>
    <w:rPr>
      <w:sz w:val="32"/>
      <w:szCs w:val="32"/>
    </w:rPr>
  </w:style>
  <w:style w:type="paragraph" w:styleId="ListeParagraf">
    <w:name w:val="List Paragraph"/>
    <w:basedOn w:val="Normal"/>
    <w:uiPriority w:val="1"/>
    <w:qFormat/>
    <w:pPr>
      <w:ind w:left="1081" w:hanging="406"/>
      <w:jc w:val="both"/>
    </w:pPr>
  </w:style>
  <w:style w:type="paragraph" w:customStyle="1" w:styleId="TableParagraph">
    <w:name w:val="Table Paragraph"/>
    <w:basedOn w:val="Normal"/>
    <w:uiPriority w:val="1"/>
    <w:qFormat/>
    <w:pPr>
      <w:ind w:left="104"/>
    </w:pPr>
  </w:style>
  <w:style w:type="paragraph" w:styleId="Dzeltme">
    <w:name w:val="Revision"/>
    <w:hidden/>
    <w:uiPriority w:val="99"/>
    <w:semiHidden/>
    <w:rsid w:val="00BB0143"/>
    <w:pPr>
      <w:widowControl/>
      <w:autoSpaceDE/>
      <w:autoSpaceDN/>
    </w:pPr>
    <w:rPr>
      <w:rFonts w:ascii="CamberW04-Regular" w:eastAsia="CamberW04-Regular" w:hAnsi="CamberW04-Regular" w:cs="CamberW04-Regular"/>
    </w:rPr>
  </w:style>
  <w:style w:type="character" w:styleId="AklamaBavurusu">
    <w:name w:val="annotation reference"/>
    <w:basedOn w:val="VarsaylanParagrafYazTipi"/>
    <w:uiPriority w:val="99"/>
    <w:semiHidden/>
    <w:unhideWhenUsed/>
    <w:rsid w:val="00DA3AE7"/>
    <w:rPr>
      <w:sz w:val="16"/>
      <w:szCs w:val="16"/>
    </w:rPr>
  </w:style>
  <w:style w:type="paragraph" w:styleId="AklamaMetni">
    <w:name w:val="annotation text"/>
    <w:basedOn w:val="Normal"/>
    <w:link w:val="AklamaMetniChar"/>
    <w:uiPriority w:val="99"/>
    <w:semiHidden/>
    <w:unhideWhenUsed/>
    <w:rsid w:val="00DA3AE7"/>
    <w:rPr>
      <w:sz w:val="20"/>
      <w:szCs w:val="20"/>
    </w:rPr>
  </w:style>
  <w:style w:type="character" w:customStyle="1" w:styleId="AklamaMetniChar">
    <w:name w:val="Açıklama Metni Char"/>
    <w:basedOn w:val="VarsaylanParagrafYazTipi"/>
    <w:link w:val="AklamaMetni"/>
    <w:uiPriority w:val="99"/>
    <w:semiHidden/>
    <w:rsid w:val="00DA3AE7"/>
    <w:rPr>
      <w:rFonts w:ascii="CamberW04-Regular" w:eastAsia="CamberW04-Regular" w:hAnsi="CamberW04-Regular" w:cs="CamberW04-Regular"/>
      <w:sz w:val="20"/>
      <w:szCs w:val="20"/>
    </w:rPr>
  </w:style>
  <w:style w:type="paragraph" w:styleId="AklamaKonusu">
    <w:name w:val="annotation subject"/>
    <w:basedOn w:val="AklamaMetni"/>
    <w:next w:val="AklamaMetni"/>
    <w:link w:val="AklamaKonusuChar"/>
    <w:uiPriority w:val="99"/>
    <w:semiHidden/>
    <w:unhideWhenUsed/>
    <w:rsid w:val="00DA3AE7"/>
    <w:rPr>
      <w:b/>
      <w:bCs/>
    </w:rPr>
  </w:style>
  <w:style w:type="character" w:customStyle="1" w:styleId="AklamaKonusuChar">
    <w:name w:val="Açıklama Konusu Char"/>
    <w:basedOn w:val="AklamaMetniChar"/>
    <w:link w:val="AklamaKonusu"/>
    <w:uiPriority w:val="99"/>
    <w:semiHidden/>
    <w:rsid w:val="00DA3AE7"/>
    <w:rPr>
      <w:rFonts w:ascii="CamberW04-Regular" w:eastAsia="CamberW04-Regular" w:hAnsi="CamberW04-Regular" w:cs="CamberW04-Regular"/>
      <w:b/>
      <w:bCs/>
      <w:sz w:val="20"/>
      <w:szCs w:val="20"/>
    </w:rPr>
  </w:style>
  <w:style w:type="paragraph" w:styleId="BalonMetni">
    <w:name w:val="Balloon Text"/>
    <w:basedOn w:val="Normal"/>
    <w:link w:val="BalonMetniChar"/>
    <w:uiPriority w:val="99"/>
    <w:semiHidden/>
    <w:unhideWhenUsed/>
    <w:rsid w:val="00F225F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25F6"/>
    <w:rPr>
      <w:rFonts w:ascii="Segoe UI" w:eastAsia="CamberW04-Regular" w:hAnsi="Segoe UI" w:cs="Segoe UI"/>
      <w:sz w:val="18"/>
      <w:szCs w:val="18"/>
    </w:rPr>
  </w:style>
  <w:style w:type="paragraph" w:customStyle="1" w:styleId="P68B1DB1-Normal1">
    <w:name w:val="P68B1DB1-Normal1"/>
    <w:basedOn w:val="Normal"/>
    <w:rPr>
      <w:sz w:val="24"/>
    </w:rPr>
  </w:style>
  <w:style w:type="paragraph" w:customStyle="1" w:styleId="P68B1DB1-ListeParagraf2">
    <w:name w:val="P68B1DB1-ListeParagraf2"/>
    <w:basedOn w:val="ListeParagraf"/>
    <w:rPr>
      <w:sz w:val="24"/>
      <w:u w:val="single"/>
    </w:rPr>
  </w:style>
  <w:style w:type="paragraph" w:customStyle="1" w:styleId="P68B1DB1-ListeParagraf3">
    <w:name w:val="P68B1DB1-ListeParagraf3"/>
    <w:basedOn w:val="ListeParagraf"/>
    <w:rPr>
      <w:sz w:val="24"/>
    </w:rPr>
  </w:style>
  <w:style w:type="paragraph" w:customStyle="1" w:styleId="P68B1DB1-GvdeMetni4">
    <w:name w:val="P68B1DB1-GvdeMetni4"/>
    <w:basedOn w:val="GvdeMetni"/>
    <w:rPr>
      <w:i/>
      <w:iCs/>
    </w:rPr>
  </w:style>
  <w:style w:type="paragraph" w:customStyle="1" w:styleId="P68B1DB1-TableParagraph5">
    <w:name w:val="P68B1DB1-TableParagraph5"/>
    <w:basedOn w:val="TableParagraph"/>
    <w:rPr>
      <w:color w:val="FFFFFF"/>
      <w:sz w:val="18"/>
    </w:rPr>
  </w:style>
  <w:style w:type="paragraph" w:customStyle="1" w:styleId="P68B1DB1-TableParagraph6">
    <w:name w:val="P68B1DB1-TableParagraph6"/>
    <w:basedOn w:val="TableParagraph"/>
    <w:rPr>
      <w:spacing w:val="-1"/>
      <w:sz w:val="18"/>
    </w:rPr>
  </w:style>
  <w:style w:type="paragraph" w:customStyle="1" w:styleId="P68B1DB1-TableParagraph7">
    <w:name w:val="P68B1DB1-TableParagraph7"/>
    <w:basedOn w:val="TableParagraph"/>
    <w:rPr>
      <w:sz w:val="18"/>
    </w:rPr>
  </w:style>
  <w:style w:type="paragraph" w:customStyle="1" w:styleId="P68B1DB1-Normal8">
    <w:name w:val="P68B1DB1-Normal8"/>
    <w:basedOn w:val="Normal"/>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98DC-0C66-4FAF-BE15-F747A438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5396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 KOÇER</dc:creator>
  <cp:lastModifiedBy>USER</cp:lastModifiedBy>
  <cp:revision>2</cp:revision>
  <dcterms:created xsi:type="dcterms:W3CDTF">2023-10-13T13:09:00Z</dcterms:created>
  <dcterms:modified xsi:type="dcterms:W3CDTF">2023-10-13T13:09:00Z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Word için Acrobat PDFMaker 21</vt:lpwstr>
  </property>
  <property fmtid="{D5CDD505-2E9C-101B-9397-08002B2CF9AE}" pid="4" name="LastSaved">
    <vt:filetime>2021-12-08T00:00:00Z</vt:filetime>
  </property>
</Properties>
</file>